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C7A6" w14:textId="77777777" w:rsidR="00BD6A10" w:rsidRPr="00CE3A3F" w:rsidRDefault="00BD6A10" w:rsidP="00BD6A10">
      <w:pPr>
        <w:spacing w:after="0" w:line="240" w:lineRule="auto"/>
        <w:ind w:right="4"/>
        <w:jc w:val="center"/>
        <w:rPr>
          <w:rFonts w:ascii="Cambria" w:hAnsi="Cambria"/>
          <w:color w:val="000000" w:themeColor="text1"/>
          <w:lang w:val="es-US"/>
        </w:rPr>
      </w:pPr>
      <w:r w:rsidRPr="00CE3A3F">
        <w:rPr>
          <w:rFonts w:ascii="Cambria" w:hAnsi="Cambria"/>
          <w:b/>
          <w:color w:val="000000" w:themeColor="text1"/>
          <w:lang w:val="es-US"/>
        </w:rPr>
        <w:t>FICHA TÉCNICA INFORMATIVA</w:t>
      </w:r>
    </w:p>
    <w:p w14:paraId="6934B151" w14:textId="77777777" w:rsidR="00CD42BE" w:rsidRPr="00125F13" w:rsidRDefault="00CD42BE" w:rsidP="00CD42BE">
      <w:pPr>
        <w:spacing w:after="0" w:line="240" w:lineRule="auto"/>
        <w:ind w:right="4"/>
        <w:jc w:val="center"/>
        <w:rPr>
          <w:rFonts w:ascii="Cambria" w:eastAsia="Batang" w:hAnsi="Cambria"/>
          <w:b/>
          <w:color w:val="000000" w:themeColor="text1"/>
          <w:lang w:val="es-CO" w:eastAsia="es-ES_tradnl"/>
        </w:rPr>
      </w:pPr>
      <w:r w:rsidRPr="00125F13">
        <w:rPr>
          <w:rFonts w:ascii="Cambria" w:eastAsia="Batang" w:hAnsi="Cambria"/>
          <w:b/>
          <w:color w:val="000000" w:themeColor="text1"/>
          <w:lang w:val="es-CO" w:eastAsia="es-ES_tradnl"/>
        </w:rPr>
        <w:t>CASO 12.712 RUBÉN DARÍO ARROYAVE</w:t>
      </w:r>
    </w:p>
    <w:p w14:paraId="25835FEC" w14:textId="0FBCC598" w:rsidR="00CD42BE" w:rsidRPr="00CE3A3F" w:rsidRDefault="00CD42BE" w:rsidP="00CD42BE">
      <w:pPr>
        <w:spacing w:after="0" w:line="240" w:lineRule="auto"/>
        <w:ind w:right="4"/>
        <w:jc w:val="center"/>
        <w:rPr>
          <w:rFonts w:ascii="Cambria" w:eastAsia="Batang" w:hAnsi="Cambria"/>
          <w:b/>
          <w:color w:val="000000" w:themeColor="text1"/>
          <w:lang w:val="es-CO" w:eastAsia="es-ES_tradnl"/>
        </w:rPr>
      </w:pPr>
      <w:r w:rsidRPr="00CE3A3F">
        <w:rPr>
          <w:rFonts w:ascii="Cambria" w:eastAsia="Batang" w:hAnsi="Cambria"/>
          <w:b/>
          <w:color w:val="000000" w:themeColor="text1"/>
          <w:lang w:val="es-CO"/>
        </w:rPr>
        <w:t xml:space="preserve">INFORME DE SOLUCIÓN AMISTOSA </w:t>
      </w:r>
      <w:r w:rsidRPr="00125F13">
        <w:rPr>
          <w:rFonts w:ascii="Cambria" w:eastAsia="Batang" w:hAnsi="Cambria"/>
          <w:b/>
          <w:color w:val="000000" w:themeColor="text1"/>
          <w:lang w:val="es-CO"/>
        </w:rPr>
        <w:t>No.</w:t>
      </w:r>
      <w:r w:rsidR="00937DFD" w:rsidRPr="00125F13">
        <w:rPr>
          <w:rFonts w:ascii="Cambria" w:eastAsia="Batang" w:hAnsi="Cambria"/>
          <w:b/>
          <w:color w:val="000000" w:themeColor="text1"/>
          <w:lang w:val="es-CO"/>
        </w:rPr>
        <w:t xml:space="preserve"> </w:t>
      </w:r>
      <w:hyperlink r:id="rId12" w:history="1">
        <w:r w:rsidRPr="00125F13">
          <w:rPr>
            <w:rStyle w:val="Hyperlink"/>
            <w:rFonts w:ascii="Cambria" w:eastAsia="Batang" w:hAnsi="Cambria"/>
            <w:b/>
            <w:color w:val="000000" w:themeColor="text1"/>
            <w:u w:val="none"/>
            <w:lang w:val="es-CO"/>
          </w:rPr>
          <w:t>135/17</w:t>
        </w:r>
      </w:hyperlink>
    </w:p>
    <w:p w14:paraId="3C039F00" w14:textId="77777777" w:rsidR="00CD42BE" w:rsidRPr="00CE3A3F" w:rsidRDefault="00CD42BE" w:rsidP="00CD42BE">
      <w:pPr>
        <w:spacing w:after="0" w:line="240" w:lineRule="auto"/>
        <w:ind w:right="4"/>
        <w:jc w:val="center"/>
        <w:rPr>
          <w:rFonts w:ascii="Cambria" w:eastAsia="Batang" w:hAnsi="Cambria"/>
          <w:b/>
          <w:color w:val="000000" w:themeColor="text1"/>
          <w:lang w:val="es-CO"/>
        </w:rPr>
      </w:pPr>
      <w:r w:rsidRPr="00CE3A3F">
        <w:rPr>
          <w:rFonts w:ascii="Cambria" w:eastAsia="Batang" w:hAnsi="Cambria"/>
          <w:b/>
          <w:color w:val="000000" w:themeColor="text1"/>
          <w:lang w:val="es-CO"/>
        </w:rPr>
        <w:t>CUMPLIMIENTO TOTAL</w:t>
      </w:r>
    </w:p>
    <w:p w14:paraId="71F79AAA" w14:textId="77777777" w:rsidR="00CD42BE" w:rsidRPr="00AA1FD6" w:rsidRDefault="00CD42BE" w:rsidP="00CD42BE">
      <w:pPr>
        <w:spacing w:after="0" w:line="240" w:lineRule="auto"/>
        <w:ind w:right="4"/>
        <w:jc w:val="center"/>
        <w:rPr>
          <w:rFonts w:ascii="Cambria" w:eastAsia="Batang" w:hAnsi="Cambria"/>
          <w:b/>
          <w:color w:val="000000" w:themeColor="text1"/>
          <w:lang w:val="es-CO"/>
        </w:rPr>
      </w:pPr>
      <w:r w:rsidRPr="00125F13">
        <w:rPr>
          <w:rFonts w:ascii="Cambria" w:eastAsia="Batang" w:hAnsi="Cambria"/>
          <w:b/>
          <w:color w:val="000000" w:themeColor="text1"/>
          <w:lang w:val="es-CO"/>
        </w:rPr>
        <w:t>(COLOMBIA)</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3F2850" w14:paraId="78B6CDC5" w14:textId="77777777" w:rsidTr="00125F13">
        <w:trPr>
          <w:trHeight w:val="800"/>
        </w:trPr>
        <w:tc>
          <w:tcPr>
            <w:tcW w:w="9377" w:type="dxa"/>
            <w:shd w:val="clear" w:color="auto" w:fill="F2F2F2"/>
          </w:tcPr>
          <w:p w14:paraId="29B0F747" w14:textId="77777777" w:rsidR="005E7B15" w:rsidRPr="00125F13" w:rsidRDefault="005E7B15" w:rsidP="005E7B15">
            <w:pPr>
              <w:spacing w:after="0" w:line="240" w:lineRule="auto"/>
              <w:jc w:val="both"/>
              <w:rPr>
                <w:rFonts w:ascii="Cambria" w:eastAsia="Batang" w:hAnsi="Cambria"/>
                <w:b/>
                <w:color w:val="080808"/>
                <w:sz w:val="20"/>
                <w:szCs w:val="20"/>
                <w:lang w:val="es-CO"/>
              </w:rPr>
            </w:pPr>
            <w:r w:rsidRPr="00125F13">
              <w:rPr>
                <w:rFonts w:ascii="Cambria" w:eastAsia="Batang" w:hAnsi="Cambria"/>
                <w:b/>
                <w:color w:val="080808"/>
                <w:sz w:val="20"/>
                <w:szCs w:val="20"/>
                <w:lang w:val="es-CO"/>
              </w:rPr>
              <w:t xml:space="preserve">Víctima (s): </w:t>
            </w:r>
            <w:r w:rsidRPr="00125F13">
              <w:rPr>
                <w:rFonts w:ascii="Cambria" w:eastAsia="Batang" w:hAnsi="Cambria"/>
                <w:bCs/>
                <w:color w:val="080808"/>
                <w:sz w:val="20"/>
                <w:szCs w:val="20"/>
                <w:lang w:val="es-CO"/>
              </w:rPr>
              <w:t>Rubén Darío Arroyave</w:t>
            </w:r>
          </w:p>
          <w:p w14:paraId="050B1E69" w14:textId="77777777" w:rsidR="005E7B15" w:rsidRPr="00125F13" w:rsidRDefault="005E7B15" w:rsidP="005E7B15">
            <w:pPr>
              <w:spacing w:after="0" w:line="240" w:lineRule="auto"/>
              <w:jc w:val="both"/>
              <w:rPr>
                <w:rFonts w:ascii="Cambria" w:eastAsia="Batang" w:hAnsi="Cambria"/>
                <w:b/>
                <w:color w:val="080808"/>
                <w:sz w:val="20"/>
                <w:szCs w:val="20"/>
                <w:lang w:val="es-CO"/>
              </w:rPr>
            </w:pPr>
            <w:r w:rsidRPr="00125F13">
              <w:rPr>
                <w:rFonts w:ascii="Cambria" w:eastAsia="Batang" w:hAnsi="Cambria"/>
                <w:b/>
                <w:color w:val="080808"/>
                <w:sz w:val="20"/>
                <w:szCs w:val="20"/>
                <w:lang w:val="es-CO"/>
              </w:rPr>
              <w:t xml:space="preserve">Peticionario (s): </w:t>
            </w:r>
            <w:r w:rsidRPr="00125F13">
              <w:rPr>
                <w:rFonts w:ascii="Cambria" w:eastAsia="Batang" w:hAnsi="Cambria"/>
                <w:bCs/>
                <w:color w:val="080808"/>
                <w:sz w:val="20"/>
                <w:szCs w:val="20"/>
                <w:lang w:val="es-CO"/>
              </w:rPr>
              <w:t>Jose Luis Viveros Abisambra y Luis Felipe Viveros Montoya- Centro de Derechos Humanos de Antioquia</w:t>
            </w:r>
          </w:p>
          <w:p w14:paraId="169A5DCA" w14:textId="77777777" w:rsidR="005E7B15" w:rsidRPr="00125F13" w:rsidRDefault="005E7B15" w:rsidP="005E7B15">
            <w:pPr>
              <w:spacing w:after="0" w:line="240" w:lineRule="auto"/>
              <w:jc w:val="both"/>
              <w:rPr>
                <w:rFonts w:ascii="Cambria" w:eastAsia="Batang" w:hAnsi="Cambria"/>
                <w:b/>
                <w:color w:val="080808"/>
                <w:sz w:val="20"/>
                <w:szCs w:val="20"/>
                <w:lang w:val="es-CO"/>
              </w:rPr>
            </w:pPr>
            <w:r w:rsidRPr="00125F13">
              <w:rPr>
                <w:rFonts w:ascii="Cambria" w:eastAsia="Batang" w:hAnsi="Cambria"/>
                <w:b/>
                <w:color w:val="080808"/>
                <w:sz w:val="20"/>
                <w:szCs w:val="20"/>
                <w:lang w:val="es-CO"/>
              </w:rPr>
              <w:t xml:space="preserve">Estado: </w:t>
            </w:r>
            <w:r w:rsidRPr="00125F13">
              <w:rPr>
                <w:rFonts w:ascii="Cambria" w:eastAsia="Batang" w:hAnsi="Cambria"/>
                <w:bCs/>
                <w:color w:val="080808"/>
                <w:sz w:val="20"/>
                <w:szCs w:val="20"/>
                <w:lang w:val="es-CO"/>
              </w:rPr>
              <w:t>Colombia</w:t>
            </w:r>
          </w:p>
          <w:p w14:paraId="3B0CD856" w14:textId="77777777" w:rsidR="005E7B15" w:rsidRPr="00125F13" w:rsidRDefault="005E7B15" w:rsidP="005E7B15">
            <w:pPr>
              <w:spacing w:after="0" w:line="240" w:lineRule="auto"/>
              <w:jc w:val="both"/>
              <w:rPr>
                <w:rFonts w:ascii="Cambria" w:eastAsia="Batang" w:hAnsi="Cambria"/>
                <w:b/>
                <w:bCs/>
                <w:color w:val="080808"/>
                <w:sz w:val="20"/>
                <w:szCs w:val="20"/>
                <w:lang w:val="es-CO"/>
              </w:rPr>
            </w:pPr>
            <w:r w:rsidRPr="00125F13">
              <w:rPr>
                <w:rFonts w:ascii="Cambria" w:eastAsia="Batang" w:hAnsi="Cambria"/>
                <w:b/>
                <w:bCs/>
                <w:color w:val="080808"/>
                <w:sz w:val="20"/>
                <w:szCs w:val="20"/>
                <w:lang w:val="es-CO"/>
              </w:rPr>
              <w:t xml:space="preserve">Fecha de inicio de las negociaciones: </w:t>
            </w:r>
            <w:r w:rsidRPr="00125F13">
              <w:rPr>
                <w:rFonts w:ascii="Cambria" w:eastAsia="Batang" w:hAnsi="Cambria"/>
                <w:color w:val="080808"/>
                <w:sz w:val="20"/>
                <w:szCs w:val="20"/>
                <w:lang w:val="es-CO"/>
              </w:rPr>
              <w:t>17 de mayo de 2016</w:t>
            </w:r>
            <w:r w:rsidRPr="00125F13">
              <w:rPr>
                <w:rFonts w:ascii="Cambria" w:eastAsia="Batang" w:hAnsi="Cambria"/>
                <w:b/>
                <w:bCs/>
                <w:color w:val="080808"/>
                <w:sz w:val="20"/>
                <w:szCs w:val="20"/>
                <w:lang w:val="es-CO"/>
              </w:rPr>
              <w:t xml:space="preserve"> </w:t>
            </w:r>
          </w:p>
          <w:p w14:paraId="76D43FCB" w14:textId="77777777" w:rsidR="005E7B15" w:rsidRPr="00125F13" w:rsidRDefault="005E7B15" w:rsidP="005E7B15">
            <w:pPr>
              <w:spacing w:after="0" w:line="240" w:lineRule="auto"/>
              <w:jc w:val="both"/>
              <w:rPr>
                <w:rFonts w:ascii="Cambria" w:eastAsia="Batang" w:hAnsi="Cambria"/>
                <w:b/>
                <w:bCs/>
                <w:color w:val="080808"/>
                <w:sz w:val="20"/>
                <w:szCs w:val="20"/>
                <w:lang w:val="es-CO"/>
              </w:rPr>
            </w:pPr>
            <w:r w:rsidRPr="00125F13">
              <w:rPr>
                <w:rFonts w:ascii="Cambria" w:eastAsia="Batang" w:hAnsi="Cambria"/>
                <w:b/>
                <w:bCs/>
                <w:color w:val="080808"/>
                <w:sz w:val="20"/>
                <w:szCs w:val="20"/>
                <w:lang w:val="es-CO"/>
              </w:rPr>
              <w:t xml:space="preserve">Fecha de Firma de ASA: </w:t>
            </w:r>
            <w:r w:rsidRPr="00125F13">
              <w:rPr>
                <w:rFonts w:ascii="Cambria" w:eastAsia="Batang" w:hAnsi="Cambria"/>
                <w:color w:val="080808"/>
                <w:sz w:val="20"/>
                <w:szCs w:val="20"/>
                <w:lang w:val="es-CO"/>
              </w:rPr>
              <w:t xml:space="preserve">17 de agosto de 2015 </w:t>
            </w:r>
          </w:p>
          <w:p w14:paraId="47A045CF" w14:textId="77777777" w:rsidR="005E7B15" w:rsidRPr="00125F13" w:rsidRDefault="005E7B15" w:rsidP="005E7B15">
            <w:pPr>
              <w:spacing w:after="0" w:line="240" w:lineRule="auto"/>
              <w:jc w:val="both"/>
              <w:rPr>
                <w:rFonts w:ascii="Cambria" w:eastAsia="Batang" w:hAnsi="Cambria"/>
                <w:b/>
                <w:color w:val="080808"/>
                <w:sz w:val="20"/>
                <w:szCs w:val="20"/>
                <w:lang w:val="es-CO"/>
              </w:rPr>
            </w:pPr>
            <w:r w:rsidRPr="00125F13">
              <w:rPr>
                <w:rFonts w:ascii="Cambria" w:eastAsia="Batang" w:hAnsi="Cambria"/>
                <w:b/>
                <w:color w:val="080808"/>
                <w:sz w:val="20"/>
                <w:szCs w:val="20"/>
                <w:lang w:val="es-CO"/>
              </w:rPr>
              <w:t xml:space="preserve">Informe de Admisibilidad Nº: </w:t>
            </w:r>
            <w:hyperlink r:id="rId13" w:history="1">
              <w:r w:rsidRPr="00125F13">
                <w:rPr>
                  <w:rStyle w:val="Hyperlink"/>
                  <w:rFonts w:ascii="Cambria" w:eastAsia="Batang" w:hAnsi="Cambria"/>
                  <w:b/>
                  <w:color w:val="000000" w:themeColor="text1"/>
                  <w:sz w:val="20"/>
                  <w:szCs w:val="20"/>
                  <w:lang w:val="es-CO"/>
                </w:rPr>
                <w:t>69/09</w:t>
              </w:r>
            </w:hyperlink>
            <w:r w:rsidRPr="00125F13">
              <w:rPr>
                <w:rFonts w:ascii="Cambria" w:eastAsia="Batang" w:hAnsi="Cambria"/>
                <w:b/>
                <w:color w:val="000000" w:themeColor="text1"/>
                <w:sz w:val="20"/>
                <w:szCs w:val="20"/>
                <w:lang w:val="es-CO"/>
              </w:rPr>
              <w:t xml:space="preserve">, </w:t>
            </w:r>
            <w:r w:rsidRPr="00125F13">
              <w:rPr>
                <w:rFonts w:ascii="Cambria" w:eastAsia="Batang" w:hAnsi="Cambria"/>
                <w:bCs/>
                <w:color w:val="000000" w:themeColor="text1"/>
                <w:sz w:val="20"/>
                <w:szCs w:val="20"/>
                <w:lang w:val="es-CO"/>
              </w:rPr>
              <w:t>publicado el 5 de agosto de 2009</w:t>
            </w:r>
          </w:p>
          <w:p w14:paraId="6AA2E1CD" w14:textId="77777777" w:rsidR="005E7B15" w:rsidRPr="00125F13" w:rsidRDefault="005E7B15" w:rsidP="005E7B15">
            <w:pPr>
              <w:spacing w:after="0" w:line="240" w:lineRule="auto"/>
              <w:jc w:val="both"/>
              <w:rPr>
                <w:rFonts w:ascii="Cambria" w:eastAsia="Batang" w:hAnsi="Cambria"/>
                <w:bCs/>
                <w:color w:val="080808"/>
                <w:sz w:val="20"/>
                <w:szCs w:val="20"/>
                <w:lang w:val="es-CO"/>
              </w:rPr>
            </w:pPr>
            <w:r w:rsidRPr="00125F13">
              <w:rPr>
                <w:rFonts w:ascii="Cambria" w:eastAsia="Batang" w:hAnsi="Cambria"/>
                <w:b/>
                <w:color w:val="080808"/>
                <w:sz w:val="20"/>
                <w:szCs w:val="20"/>
                <w:lang w:val="es-CO"/>
              </w:rPr>
              <w:t xml:space="preserve">Informe de Acuerdo de Solución Amistosa Nº: </w:t>
            </w:r>
            <w:hyperlink r:id="rId14" w:history="1">
              <w:r w:rsidRPr="00125F13">
                <w:rPr>
                  <w:rStyle w:val="Hyperlink"/>
                  <w:rFonts w:ascii="Cambria" w:eastAsia="Batang" w:hAnsi="Cambria"/>
                  <w:b/>
                  <w:color w:val="000000" w:themeColor="text1"/>
                  <w:sz w:val="20"/>
                  <w:szCs w:val="20"/>
                  <w:lang w:val="es-CO"/>
                </w:rPr>
                <w:t>135/17</w:t>
              </w:r>
            </w:hyperlink>
            <w:r w:rsidRPr="00125F13">
              <w:rPr>
                <w:rFonts w:ascii="Cambria" w:eastAsia="Batang" w:hAnsi="Cambria"/>
                <w:b/>
                <w:color w:val="000000" w:themeColor="text1"/>
                <w:sz w:val="20"/>
                <w:szCs w:val="20"/>
                <w:lang w:val="es-CO"/>
              </w:rPr>
              <w:t xml:space="preserve">, </w:t>
            </w:r>
            <w:r w:rsidRPr="00125F13">
              <w:rPr>
                <w:rFonts w:ascii="Cambria" w:eastAsia="Batang" w:hAnsi="Cambria"/>
                <w:bCs/>
                <w:color w:val="080808"/>
                <w:sz w:val="20"/>
                <w:szCs w:val="20"/>
                <w:lang w:val="es-CO"/>
              </w:rPr>
              <w:t>publicado el 25 de octubre de 2017</w:t>
            </w:r>
          </w:p>
          <w:p w14:paraId="05BD59E1" w14:textId="77777777" w:rsidR="005E7B15" w:rsidRPr="00125F13" w:rsidRDefault="005E7B15" w:rsidP="005E7B15">
            <w:pPr>
              <w:spacing w:after="0" w:line="240" w:lineRule="auto"/>
              <w:jc w:val="both"/>
              <w:rPr>
                <w:rFonts w:ascii="Cambria" w:eastAsia="Batang" w:hAnsi="Cambria"/>
                <w:bCs/>
                <w:color w:val="080808"/>
                <w:sz w:val="20"/>
                <w:szCs w:val="20"/>
                <w:lang w:val="es-CO"/>
              </w:rPr>
            </w:pPr>
            <w:r w:rsidRPr="00125F13">
              <w:rPr>
                <w:rFonts w:ascii="Cambria" w:eastAsia="Batang" w:hAnsi="Cambria"/>
                <w:bCs/>
                <w:color w:val="080808"/>
                <w:sz w:val="20"/>
                <w:szCs w:val="20"/>
                <w:lang w:val="es-CO"/>
              </w:rPr>
              <w:t>Duración estimada de la fase de negociación: 1 año 5 meses</w:t>
            </w:r>
          </w:p>
          <w:p w14:paraId="4C2DCF80" w14:textId="77777777" w:rsidR="005E7B15" w:rsidRPr="00125F13" w:rsidRDefault="005E7B15" w:rsidP="005E7B15">
            <w:pPr>
              <w:spacing w:after="0" w:line="240" w:lineRule="auto"/>
              <w:jc w:val="both"/>
              <w:rPr>
                <w:rFonts w:ascii="Cambria" w:eastAsia="Batang" w:hAnsi="Cambria"/>
                <w:b/>
                <w:color w:val="080808"/>
                <w:sz w:val="20"/>
                <w:szCs w:val="20"/>
                <w:lang w:val="es-CO"/>
              </w:rPr>
            </w:pPr>
            <w:r w:rsidRPr="00125F13">
              <w:rPr>
                <w:rFonts w:ascii="Cambria" w:eastAsia="Batang" w:hAnsi="Cambria"/>
                <w:b/>
                <w:color w:val="080808"/>
                <w:sz w:val="20"/>
                <w:szCs w:val="20"/>
                <w:lang w:val="es-CO"/>
              </w:rPr>
              <w:t xml:space="preserve">Relatoría vinculada: </w:t>
            </w:r>
            <w:r w:rsidRPr="00125F13">
              <w:rPr>
                <w:rFonts w:ascii="Cambria" w:eastAsia="Batang" w:hAnsi="Cambria"/>
                <w:bCs/>
                <w:color w:val="080808"/>
                <w:sz w:val="20"/>
                <w:szCs w:val="20"/>
                <w:lang w:val="es-CO"/>
              </w:rPr>
              <w:t>Personas Privadas de Libertad</w:t>
            </w:r>
          </w:p>
          <w:p w14:paraId="147E3546" w14:textId="77777777" w:rsidR="005E7B15" w:rsidRPr="00125F13" w:rsidRDefault="005E7B15" w:rsidP="005E7B15">
            <w:pPr>
              <w:spacing w:after="0" w:line="240" w:lineRule="auto"/>
              <w:jc w:val="both"/>
              <w:rPr>
                <w:rFonts w:ascii="Cambria" w:eastAsia="Batang" w:hAnsi="Cambria"/>
                <w:b/>
                <w:color w:val="080808"/>
                <w:sz w:val="20"/>
                <w:szCs w:val="20"/>
                <w:lang w:val="es-CO"/>
              </w:rPr>
            </w:pPr>
            <w:r w:rsidRPr="00125F13">
              <w:rPr>
                <w:rFonts w:ascii="Cambria" w:eastAsia="Batang" w:hAnsi="Cambria"/>
                <w:b/>
                <w:color w:val="080808"/>
                <w:sz w:val="20"/>
                <w:szCs w:val="20"/>
                <w:lang w:val="es-CO"/>
              </w:rPr>
              <w:t xml:space="preserve">Temas: </w:t>
            </w:r>
            <w:r w:rsidRPr="00125F13">
              <w:rPr>
                <w:rFonts w:ascii="Cambria" w:eastAsia="Batang" w:hAnsi="Cambria"/>
                <w:bCs/>
                <w:color w:val="080808"/>
                <w:sz w:val="20"/>
                <w:szCs w:val="20"/>
                <w:lang w:val="es-CO"/>
              </w:rPr>
              <w:t>Personas privadas de la Libertad/Centros de detención/Condiciones de detención/Comisarías/Cuidado y Custodia/Investigación/ Sistema Penitenciario/Investigación</w:t>
            </w:r>
            <w:r w:rsidRPr="00125F13">
              <w:rPr>
                <w:rFonts w:ascii="Cambria" w:eastAsia="Batang" w:hAnsi="Cambria"/>
                <w:b/>
                <w:color w:val="080808"/>
                <w:sz w:val="20"/>
                <w:szCs w:val="20"/>
                <w:lang w:val="es-CO"/>
              </w:rPr>
              <w:t xml:space="preserve"> </w:t>
            </w:r>
          </w:p>
          <w:p w14:paraId="48CE74C1" w14:textId="77777777" w:rsidR="005E7B15" w:rsidRPr="00125F13" w:rsidRDefault="005E7B15" w:rsidP="005E7B15">
            <w:pPr>
              <w:spacing w:after="0" w:line="240" w:lineRule="auto"/>
              <w:jc w:val="both"/>
              <w:rPr>
                <w:rFonts w:ascii="Cambria" w:eastAsia="Batang" w:hAnsi="Cambria"/>
                <w:b/>
                <w:color w:val="080808"/>
                <w:sz w:val="20"/>
                <w:szCs w:val="20"/>
                <w:lang w:val="es-CO"/>
              </w:rPr>
            </w:pPr>
          </w:p>
          <w:p w14:paraId="3361DE0A" w14:textId="77777777" w:rsidR="005E7B15" w:rsidRPr="00125F13" w:rsidRDefault="005E7B15" w:rsidP="005E7B15">
            <w:pPr>
              <w:spacing w:after="0" w:line="240" w:lineRule="auto"/>
              <w:jc w:val="both"/>
              <w:rPr>
                <w:rFonts w:ascii="Cambria" w:eastAsia="Batang" w:hAnsi="Cambria"/>
                <w:b/>
                <w:color w:val="080808"/>
                <w:sz w:val="20"/>
                <w:szCs w:val="20"/>
                <w:lang w:val="es-CO"/>
              </w:rPr>
            </w:pPr>
            <w:r w:rsidRPr="00125F13">
              <w:rPr>
                <w:rFonts w:ascii="Cambria" w:eastAsia="Batang" w:hAnsi="Cambria"/>
                <w:b/>
                <w:color w:val="080808"/>
                <w:sz w:val="20"/>
                <w:szCs w:val="20"/>
                <w:lang w:val="es-CO"/>
              </w:rPr>
              <w:t xml:space="preserve">Hechos: </w:t>
            </w:r>
            <w:r w:rsidRPr="00125F13">
              <w:rPr>
                <w:rFonts w:ascii="Cambria" w:eastAsia="Batang" w:hAnsi="Cambria"/>
                <w:bCs/>
                <w:color w:val="080808"/>
                <w:sz w:val="20"/>
                <w:szCs w:val="20"/>
                <w:lang w:val="es-CO"/>
              </w:rPr>
              <w:t>El caso se refiere a la responsabilidad del Estado por la falta de investigación y sanción de los responsables del secuestro y homicidio de Rubén Darío Arroyave Gallego, mientras se encontraba bajo la custodia del Estado el día 20 de noviembre de 1995. Los peticionarios alegaron que Rubén Darío Arroyave, quien tenía una discapacidad, habría sido secuestrado y asesinado por miembros de grupos armados ilegales mientras se encontraba retenido en una prisión ubicada en el municipio de El Bagre. Según lo alegado por los peticionarios, el Estado habría fallado en su deber de protección y custodia del señor Arroyave Gallego, y no habría investigado los hechos sucedidos ni habría indemnizado a los familiares de la presunta víctima. Los peticionarios alegaron que el señor Arroyave Gallego tenía una discapacidad que le ocasionaba serias crisis del comportamiento. Según lo indicado por los peticionarios, producto de uno de estos episodios, el señor Arroyave Gallego habría cometido un delito de hurto agravado por el cual fue condenado. Los peticionarios indicaron que Rubén Darío Arroyave se encontraba recluido en un centro carcelario bajo la custodia del Instituto Nacional Penitenciario y Carcelario –INPEC-, que no era acorde con su condición médica, ya que no contaba con el personal médico, ni con los medios necesarios para atender a una persona con una discapacidad de esa naturaleza. Asimismo, los peticionarios indicaron que al ser un oficial retirado de las fuerzas militares que se había desempeñado en zonas de alta peligrosidad con presencia de grupos armados ilegales, la presunta víctima temía por su vida y había solicitado en múltiples oportunidades ser trasladado a una institución acorde con su condición médica y nivel de riesgo particular. Los peticionarios alegaron que el 20 de septiembre de 1995, unos hombres pertenecientes a un grupo armado ilegal no identificado, habrían irrumpido violentamente en las instalaciones de la cárcel del municipio de El Bagre y se habrían llevado Rubén Darío Arroyave Gallego, quien habría sido ejecutado sumariamente en el municipio vecino de Zaragoza, también ubicado en el Departamento de Antioquia, donde fue encontrado su cuerpo sin vida. Los peticionarios no indicaron el momento estimado de su fallecimiento ni la duración del secuestro. Los peticionarios indicaron que las autoridades estatales, tanto policiacas como carcelarias, no habrían desplegado ninguna acción para prevenir el secuestro de Rubén Darío Arroyave, ni para perseguir a sus captores una vez fue sacado por la fuerza del centro de detención.</w:t>
            </w:r>
            <w:r w:rsidRPr="00125F13">
              <w:rPr>
                <w:rFonts w:ascii="Cambria" w:eastAsia="Batang" w:hAnsi="Cambria"/>
                <w:b/>
                <w:color w:val="080808"/>
                <w:sz w:val="20"/>
                <w:szCs w:val="20"/>
                <w:lang w:val="es-CO"/>
              </w:rPr>
              <w:t xml:space="preserve"> </w:t>
            </w:r>
          </w:p>
          <w:p w14:paraId="4C8FFBE0" w14:textId="77777777" w:rsidR="005E7B15" w:rsidRPr="00125F13" w:rsidRDefault="005E7B15" w:rsidP="005E7B15">
            <w:pPr>
              <w:spacing w:after="0" w:line="240" w:lineRule="auto"/>
              <w:jc w:val="both"/>
              <w:rPr>
                <w:rFonts w:ascii="Cambria" w:eastAsia="Batang" w:hAnsi="Cambria"/>
                <w:b/>
                <w:color w:val="080808"/>
                <w:sz w:val="20"/>
                <w:szCs w:val="20"/>
                <w:lang w:val="es-CO"/>
              </w:rPr>
            </w:pPr>
          </w:p>
          <w:p w14:paraId="039EA89A" w14:textId="4ABE9CD6" w:rsidR="000F6AC8" w:rsidRPr="00125F13" w:rsidRDefault="005E7B15" w:rsidP="005E7B15">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125F13">
              <w:rPr>
                <w:rFonts w:ascii="Cambria" w:eastAsia="Batang" w:hAnsi="Cambria"/>
                <w:b/>
                <w:color w:val="080808"/>
                <w:sz w:val="20"/>
                <w:szCs w:val="20"/>
                <w:lang w:val="es-CO"/>
              </w:rPr>
              <w:t xml:space="preserve">Derechos declarados admisibles: </w:t>
            </w:r>
            <w:r w:rsidRPr="00125F13">
              <w:rPr>
                <w:rFonts w:ascii="Cambria" w:eastAsia="Batang" w:hAnsi="Cambria"/>
                <w:bCs/>
                <w:color w:val="080808"/>
                <w:sz w:val="20"/>
                <w:szCs w:val="20"/>
                <w:lang w:val="es-CO"/>
              </w:rPr>
              <w:t xml:space="preserve">La Comisión concluyó que era competente para entender el presente caso y que la petición era admisible conforme a los artículos 46 y 47 de la Convención Americana, a efectos </w:t>
            </w:r>
            <w:r w:rsidRPr="00125F13">
              <w:rPr>
                <w:rFonts w:ascii="Cambria" w:eastAsia="Batang" w:hAnsi="Cambria"/>
                <w:bCs/>
                <w:color w:val="080808"/>
                <w:sz w:val="20"/>
                <w:szCs w:val="20"/>
                <w:lang w:val="es-CO"/>
              </w:rPr>
              <w:lastRenderedPageBreak/>
              <w:t>del examen sobre la presunta violación de los artículos 4(1), 8 (Garantías judiciales) y 25 (Garantías de protección judicial) en concordancia con el artículo 1(1) y 2 de la Convención Americana, notificar el informe a las partes, ordenar su publicación e incluirlo en su Informe Anual a la Asamblea General de la OEA.</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523B4AB6" w14:textId="77777777" w:rsidR="005E7B15" w:rsidRPr="00ED3D4D" w:rsidRDefault="005E7B15" w:rsidP="00125F13">
      <w:pPr>
        <w:tabs>
          <w:tab w:val="left" w:pos="1440"/>
        </w:tabs>
        <w:contextualSpacing/>
        <w:jc w:val="both"/>
        <w:rPr>
          <w:rFonts w:eastAsia="Batang" w:cs="Calibri Light"/>
          <w:b/>
          <w:color w:val="000000"/>
          <w:sz w:val="20"/>
          <w:szCs w:val="20"/>
          <w:lang w:val="es-CO"/>
        </w:rPr>
      </w:pPr>
    </w:p>
    <w:p w14:paraId="7EDC56AD" w14:textId="77777777" w:rsidR="00FE071C" w:rsidRPr="00125F13" w:rsidRDefault="00FE071C" w:rsidP="005E7B15">
      <w:pPr>
        <w:numPr>
          <w:ilvl w:val="0"/>
          <w:numId w:val="44"/>
        </w:numPr>
        <w:tabs>
          <w:tab w:val="left" w:pos="1440"/>
        </w:tabs>
        <w:spacing w:after="0" w:line="240" w:lineRule="auto"/>
        <w:ind w:left="0" w:firstLine="720"/>
        <w:jc w:val="both"/>
        <w:rPr>
          <w:rFonts w:ascii="Cambria" w:eastAsia="Batang" w:hAnsi="Cambria" w:cs="Calibri Light"/>
          <w:color w:val="000000"/>
          <w:sz w:val="20"/>
          <w:szCs w:val="20"/>
          <w:lang w:val="es-CO"/>
        </w:rPr>
      </w:pPr>
      <w:r w:rsidRPr="00125F13">
        <w:rPr>
          <w:rFonts w:ascii="Cambria" w:eastAsia="Batang" w:hAnsi="Cambria" w:cs="Calibri Light"/>
          <w:color w:val="000000"/>
          <w:sz w:val="20"/>
          <w:szCs w:val="20"/>
          <w:lang w:val="es-CO"/>
        </w:rPr>
        <w:t xml:space="preserve">El 17 de agosto de 2015, las partes firmaron un acuerdo de solución amistosa. </w:t>
      </w:r>
    </w:p>
    <w:p w14:paraId="3C82C7EF" w14:textId="77777777" w:rsidR="00D9132A" w:rsidRPr="00125F13" w:rsidRDefault="00D9132A" w:rsidP="00125F13">
      <w:pPr>
        <w:tabs>
          <w:tab w:val="left" w:pos="1440"/>
        </w:tabs>
        <w:spacing w:after="0" w:line="240" w:lineRule="auto"/>
        <w:ind w:left="720"/>
        <w:jc w:val="both"/>
        <w:rPr>
          <w:rFonts w:ascii="Cambria" w:eastAsia="Batang" w:hAnsi="Cambria" w:cs="Calibri Light"/>
          <w:color w:val="000000"/>
          <w:sz w:val="20"/>
          <w:szCs w:val="20"/>
          <w:lang w:val="es-CO"/>
        </w:rPr>
      </w:pPr>
    </w:p>
    <w:p w14:paraId="47AE00AF" w14:textId="56646E24" w:rsidR="005E7B15" w:rsidRPr="00125F13" w:rsidRDefault="0087369A" w:rsidP="005E7B15">
      <w:pPr>
        <w:numPr>
          <w:ilvl w:val="0"/>
          <w:numId w:val="44"/>
        </w:numPr>
        <w:tabs>
          <w:tab w:val="left" w:pos="1440"/>
        </w:tabs>
        <w:spacing w:after="0" w:line="240" w:lineRule="auto"/>
        <w:ind w:left="0" w:firstLine="720"/>
        <w:jc w:val="both"/>
        <w:rPr>
          <w:rFonts w:ascii="Cambria" w:eastAsia="Batang" w:hAnsi="Cambria" w:cs="Calibri Light"/>
          <w:color w:val="000000"/>
          <w:sz w:val="20"/>
          <w:szCs w:val="20"/>
          <w:lang w:val="es-CO"/>
        </w:rPr>
      </w:pPr>
      <w:r w:rsidRPr="00125F13">
        <w:rPr>
          <w:rFonts w:ascii="Cambria" w:eastAsia="Batang" w:hAnsi="Cambria" w:cs="Calibri Light"/>
          <w:color w:val="000000"/>
          <w:sz w:val="20"/>
          <w:szCs w:val="20"/>
          <w:lang w:val="es-CO"/>
        </w:rPr>
        <w:t>El 25 de octubre de 2017, l</w:t>
      </w:r>
      <w:r w:rsidR="005E7B15" w:rsidRPr="00125F13">
        <w:rPr>
          <w:rFonts w:ascii="Cambria" w:eastAsia="Batang" w:hAnsi="Cambria" w:cs="Calibri Light"/>
          <w:color w:val="000000"/>
          <w:sz w:val="20"/>
          <w:szCs w:val="20"/>
          <w:lang w:val="es-CO"/>
        </w:rPr>
        <w:t xml:space="preserve">a CIDH </w:t>
      </w:r>
      <w:r w:rsidRPr="00125F13">
        <w:rPr>
          <w:rFonts w:ascii="Cambria" w:eastAsia="Batang" w:hAnsi="Cambria" w:cs="Calibri Light"/>
          <w:color w:val="000000"/>
          <w:sz w:val="20"/>
          <w:szCs w:val="20"/>
          <w:lang w:val="es-CO"/>
        </w:rPr>
        <w:t xml:space="preserve">publicó </w:t>
      </w:r>
      <w:r w:rsidR="000E0945" w:rsidRPr="00125F13">
        <w:rPr>
          <w:rFonts w:ascii="Cambria" w:eastAsia="Batang" w:hAnsi="Cambria" w:cs="Calibri Light"/>
          <w:color w:val="000000"/>
          <w:sz w:val="20"/>
          <w:szCs w:val="20"/>
          <w:lang w:val="es-CO"/>
        </w:rPr>
        <w:t>el informe de homologación No. 135/</w:t>
      </w:r>
      <w:r w:rsidR="00D9132A" w:rsidRPr="00125F13">
        <w:rPr>
          <w:rFonts w:ascii="Cambria" w:eastAsia="Batang" w:hAnsi="Cambria" w:cs="Calibri Light"/>
          <w:color w:val="000000"/>
          <w:sz w:val="20"/>
          <w:szCs w:val="20"/>
          <w:lang w:val="es-CO"/>
        </w:rPr>
        <w:t>17</w:t>
      </w:r>
      <w:r w:rsidR="003F2850">
        <w:rPr>
          <w:rFonts w:ascii="Cambria" w:eastAsia="Batang" w:hAnsi="Cambria" w:cs="Calibri Light"/>
          <w:color w:val="000000"/>
          <w:sz w:val="20"/>
          <w:szCs w:val="20"/>
          <w:lang w:val="es-CO"/>
        </w:rPr>
        <w:t>, aprobando el acuerdo de solución amistosa</w:t>
      </w:r>
      <w:r w:rsidR="005E7B15" w:rsidRPr="00125F13">
        <w:rPr>
          <w:rFonts w:ascii="Cambria" w:eastAsia="Batang" w:hAnsi="Cambria" w:cs="Calibri Light"/>
          <w:color w:val="000000"/>
          <w:sz w:val="20"/>
          <w:szCs w:val="20"/>
          <w:lang w:val="es-CO"/>
        </w:rPr>
        <w:t xml:space="preserve">. </w:t>
      </w:r>
    </w:p>
    <w:p w14:paraId="34E6278C" w14:textId="77777777" w:rsidR="00BD6A10" w:rsidRDefault="00BD6A10" w:rsidP="00BD6A10">
      <w:pPr>
        <w:spacing w:after="0" w:line="240" w:lineRule="auto"/>
        <w:contextualSpacing/>
        <w:rPr>
          <w:rFonts w:ascii="Cambria" w:eastAsia="Batang" w:hAnsi="Cambria"/>
          <w:b/>
          <w:color w:val="080808"/>
          <w:lang w:val="es-CO"/>
        </w:rPr>
      </w:pPr>
    </w:p>
    <w:p w14:paraId="17FE6AD0" w14:textId="77777777" w:rsidR="00A76D93" w:rsidRPr="00A76D93" w:rsidRDefault="00A76D93" w:rsidP="00A76D93">
      <w:pPr>
        <w:pStyle w:val="ListParagraph"/>
        <w:numPr>
          <w:ilvl w:val="0"/>
          <w:numId w:val="37"/>
        </w:numPr>
        <w:spacing w:after="0" w:line="240" w:lineRule="auto"/>
        <w:ind w:left="0" w:firstLine="709"/>
        <w:jc w:val="both"/>
        <w:rPr>
          <w:rFonts w:ascii="Cambria" w:eastAsia="Batang" w:hAnsi="Cambria" w:cs="Calibri Light"/>
          <w:b/>
          <w:color w:val="080808"/>
          <w:lang w:val="es-CO"/>
        </w:rPr>
      </w:pPr>
      <w:r w:rsidRPr="00A76D93">
        <w:rPr>
          <w:rFonts w:ascii="Cambria" w:eastAsia="Batang" w:hAnsi="Cambria" w:cs="Calibri Light"/>
          <w:b/>
          <w:color w:val="080808"/>
          <w:lang w:val="es-CO"/>
        </w:rPr>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2E4AA1"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125F13" w:rsidRDefault="003B3362" w:rsidP="00F024F0">
            <w:pPr>
              <w:tabs>
                <w:tab w:val="center" w:pos="2049"/>
              </w:tabs>
              <w:spacing w:after="0" w:line="240" w:lineRule="auto"/>
              <w:jc w:val="center"/>
              <w:rPr>
                <w:rFonts w:ascii="Cambria" w:eastAsia="Batang" w:hAnsi="Cambria"/>
                <w:b/>
                <w:color w:val="080808"/>
                <w:sz w:val="20"/>
                <w:szCs w:val="20"/>
                <w:lang w:val="es-CO"/>
              </w:rPr>
            </w:pPr>
            <w:r w:rsidRPr="00125F13">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125F13" w:rsidRDefault="003B3362" w:rsidP="00F024F0">
            <w:pPr>
              <w:spacing w:after="0" w:line="240" w:lineRule="auto"/>
              <w:jc w:val="center"/>
              <w:rPr>
                <w:rFonts w:ascii="Cambria" w:eastAsia="Batang" w:hAnsi="Cambria"/>
                <w:b/>
                <w:color w:val="080808"/>
                <w:sz w:val="20"/>
                <w:szCs w:val="20"/>
                <w:lang w:val="es-CO"/>
              </w:rPr>
            </w:pPr>
            <w:r w:rsidRPr="00125F13">
              <w:rPr>
                <w:rFonts w:ascii="Cambria" w:eastAsia="Batang" w:hAnsi="Cambria"/>
                <w:b/>
                <w:color w:val="080808"/>
                <w:sz w:val="20"/>
                <w:szCs w:val="20"/>
                <w:lang w:val="es-CO"/>
              </w:rPr>
              <w:t>Estado de Cumplimiento</w:t>
            </w:r>
          </w:p>
        </w:tc>
      </w:tr>
      <w:tr w:rsidR="00897783" w:rsidRPr="002E4AA1" w14:paraId="16FD6143"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3F017F31" w14:textId="77777777" w:rsidR="005E7B15" w:rsidRPr="00125F13" w:rsidRDefault="005E7B15" w:rsidP="005E7B15">
            <w:pPr>
              <w:spacing w:after="0" w:line="240" w:lineRule="auto"/>
              <w:jc w:val="both"/>
              <w:rPr>
                <w:rFonts w:ascii="Cambria" w:eastAsia="Times New Roman" w:hAnsi="Cambria"/>
                <w:bCs/>
                <w:color w:val="000000"/>
                <w:kern w:val="36"/>
                <w:sz w:val="20"/>
                <w:szCs w:val="20"/>
                <w:lang w:val="es-CO"/>
              </w:rPr>
            </w:pPr>
            <w:r w:rsidRPr="00125F13">
              <w:rPr>
                <w:rFonts w:ascii="Cambria" w:eastAsia="Times New Roman" w:hAnsi="Cambria"/>
                <w:b/>
                <w:bCs/>
                <w:color w:val="000000"/>
                <w:kern w:val="36"/>
                <w:sz w:val="20"/>
                <w:szCs w:val="20"/>
                <w:lang w:val="es-CO"/>
              </w:rPr>
              <w:t>PRIMERO. - Reconocimiento de responsabilidad</w:t>
            </w:r>
          </w:p>
          <w:p w14:paraId="37794E7F" w14:textId="77777777" w:rsidR="005E7B15" w:rsidRPr="00125F13" w:rsidRDefault="005E7B15" w:rsidP="005E7B15">
            <w:pPr>
              <w:spacing w:after="0" w:line="240" w:lineRule="auto"/>
              <w:jc w:val="both"/>
              <w:rPr>
                <w:rFonts w:ascii="Cambria" w:eastAsia="Times New Roman" w:hAnsi="Cambria"/>
                <w:color w:val="000000"/>
                <w:kern w:val="36"/>
                <w:sz w:val="20"/>
                <w:szCs w:val="20"/>
                <w:lang w:val="es-CO"/>
              </w:rPr>
            </w:pPr>
            <w:r w:rsidRPr="00125F13">
              <w:rPr>
                <w:rFonts w:ascii="Cambria" w:eastAsia="Times New Roman" w:hAnsi="Cambria"/>
                <w:color w:val="000000"/>
                <w:kern w:val="36"/>
                <w:sz w:val="20"/>
                <w:szCs w:val="20"/>
                <w:lang w:val="es-CO"/>
              </w:rPr>
              <w:t>El Estado colombiano reconoce su responsabilidad internacional por omisión en su deber de garantizar los derechos al reconocimiento de la personalidad jurídica (artículo 3); el derecho a la vida (artículo 4); el derecho a la integridad personal (artículo 5.1), y; el derecho a la libertad personal (artículo 7.1) de la Convención Americana sobre Derechos Humanos, en relación con la obligación general establecida en el artículo 1.1 del mismo instrumento, en favor de Rubén Darío Arroyave Gallego.</w:t>
            </w:r>
          </w:p>
          <w:p w14:paraId="43C533DB" w14:textId="77777777" w:rsidR="005E7B15" w:rsidRPr="00125F13" w:rsidRDefault="005E7B15" w:rsidP="005E7B15">
            <w:pPr>
              <w:spacing w:after="0" w:line="240" w:lineRule="auto"/>
              <w:jc w:val="both"/>
              <w:rPr>
                <w:rFonts w:ascii="Cambria" w:eastAsia="Times New Roman" w:hAnsi="Cambria"/>
                <w:color w:val="000000"/>
                <w:kern w:val="36"/>
                <w:sz w:val="20"/>
                <w:szCs w:val="20"/>
                <w:lang w:val="es-CO"/>
              </w:rPr>
            </w:pPr>
          </w:p>
          <w:p w14:paraId="7F632A9A" w14:textId="77777777" w:rsidR="005E7B15" w:rsidRPr="00125F13" w:rsidRDefault="005E7B15" w:rsidP="005E7B15">
            <w:pPr>
              <w:spacing w:after="0" w:line="240" w:lineRule="auto"/>
              <w:jc w:val="both"/>
              <w:rPr>
                <w:rFonts w:ascii="Cambria" w:eastAsia="Times New Roman" w:hAnsi="Cambria"/>
                <w:color w:val="000000"/>
                <w:kern w:val="36"/>
                <w:sz w:val="20"/>
                <w:szCs w:val="20"/>
                <w:lang w:val="es-CO"/>
              </w:rPr>
            </w:pPr>
            <w:r w:rsidRPr="00125F13">
              <w:rPr>
                <w:rFonts w:ascii="Cambria" w:eastAsia="Times New Roman" w:hAnsi="Cambria"/>
                <w:color w:val="000000"/>
                <w:kern w:val="36"/>
                <w:sz w:val="20"/>
                <w:szCs w:val="20"/>
                <w:lang w:val="es-CO"/>
              </w:rPr>
              <w:t>Esto, con fundamento en que el señor Arroyave Gallego se encontraba bajo la custodia del Estado en un centro carcelario, y por esa razón, por encontrarse en una relación de especial sujeción al poder estatal, la administración debía responder de manera plena por su seguridad y protección.</w:t>
            </w:r>
          </w:p>
          <w:p w14:paraId="1A66522E" w14:textId="77777777" w:rsidR="005E7B15" w:rsidRPr="00125F13" w:rsidRDefault="005E7B15" w:rsidP="005E7B15">
            <w:pPr>
              <w:spacing w:after="0" w:line="240" w:lineRule="auto"/>
              <w:jc w:val="both"/>
              <w:rPr>
                <w:rFonts w:ascii="Cambria" w:eastAsia="Times New Roman" w:hAnsi="Cambria"/>
                <w:color w:val="000000"/>
                <w:kern w:val="36"/>
                <w:sz w:val="20"/>
                <w:szCs w:val="20"/>
                <w:lang w:val="es-CO"/>
              </w:rPr>
            </w:pPr>
          </w:p>
          <w:p w14:paraId="06517C49" w14:textId="626B6854" w:rsidR="00897783" w:rsidRPr="00125F13" w:rsidRDefault="005E7B15" w:rsidP="005E7B15">
            <w:pPr>
              <w:spacing w:after="0" w:line="240" w:lineRule="auto"/>
              <w:jc w:val="both"/>
              <w:rPr>
                <w:rFonts w:ascii="Cambria" w:eastAsia="Batang" w:hAnsi="Cambria"/>
                <w:color w:val="080808"/>
                <w:sz w:val="20"/>
                <w:szCs w:val="20"/>
                <w:lang w:val="es-CO"/>
              </w:rPr>
            </w:pPr>
            <w:r w:rsidRPr="00125F13">
              <w:rPr>
                <w:rFonts w:ascii="Cambria" w:eastAsia="Times New Roman" w:hAnsi="Cambria"/>
                <w:color w:val="000000"/>
                <w:kern w:val="36"/>
                <w:sz w:val="20"/>
                <w:szCs w:val="20"/>
                <w:lang w:val="es-CO"/>
              </w:rPr>
              <w:t>Teniendo en cuenta lo anterior, el Estado también reconoce su responsabilidad internacional por la violación del derecho a la integridad personal (artículo 5.1) de la Convención Americana sobre Derechos Humanos, de los familiares de Rubén Darío Arroyave Gallego, debido a la angustia generada por su sustracción del centro carcelario, y la incertidumbre sobre las causas y circunstancias que rodearon su muerte.</w:t>
            </w:r>
          </w:p>
        </w:tc>
        <w:tc>
          <w:tcPr>
            <w:tcW w:w="1701" w:type="dxa"/>
            <w:tcBorders>
              <w:top w:val="single" w:sz="4" w:space="0" w:color="auto"/>
              <w:left w:val="single" w:sz="4" w:space="0" w:color="auto"/>
              <w:bottom w:val="single" w:sz="4" w:space="0" w:color="auto"/>
              <w:right w:val="single" w:sz="4" w:space="0" w:color="auto"/>
            </w:tcBorders>
            <w:vAlign w:val="center"/>
          </w:tcPr>
          <w:p w14:paraId="7F19AC8C" w14:textId="4BC8CC6C" w:rsidR="00897783" w:rsidRPr="00125F13" w:rsidRDefault="00897783" w:rsidP="00897783">
            <w:pPr>
              <w:spacing w:after="0" w:line="240" w:lineRule="auto"/>
              <w:jc w:val="center"/>
              <w:rPr>
                <w:rFonts w:ascii="Cambria" w:eastAsia="Batang" w:hAnsi="Cambria"/>
                <w:b/>
                <w:color w:val="080808"/>
                <w:sz w:val="20"/>
                <w:szCs w:val="20"/>
                <w:lang w:val="es-CO"/>
              </w:rPr>
            </w:pPr>
            <w:r w:rsidRPr="00125F13">
              <w:rPr>
                <w:rFonts w:ascii="Cambria" w:hAnsi="Cambria"/>
                <w:b/>
                <w:color w:val="000000"/>
                <w:sz w:val="20"/>
                <w:szCs w:val="20"/>
                <w:lang w:val="es-CO"/>
              </w:rPr>
              <w:t>Cláusula declarativa</w:t>
            </w:r>
          </w:p>
        </w:tc>
      </w:tr>
      <w:tr w:rsidR="00897783" w:rsidRPr="002E4AA1"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34B9219C" w14:textId="77777777" w:rsidR="007A3840" w:rsidRPr="00125F13" w:rsidRDefault="007A3840" w:rsidP="007A3840">
            <w:pPr>
              <w:spacing w:after="0" w:line="240" w:lineRule="auto"/>
              <w:jc w:val="both"/>
              <w:rPr>
                <w:rFonts w:ascii="Cambria" w:eastAsia="Batang" w:hAnsi="Cambria"/>
                <w:b/>
                <w:bCs/>
                <w:color w:val="080808"/>
                <w:sz w:val="20"/>
                <w:szCs w:val="20"/>
                <w:lang w:val="es-CO"/>
              </w:rPr>
            </w:pPr>
            <w:r w:rsidRPr="00125F13">
              <w:rPr>
                <w:rFonts w:ascii="Cambria" w:eastAsia="Batang" w:hAnsi="Cambria"/>
                <w:b/>
                <w:bCs/>
                <w:color w:val="080808"/>
                <w:sz w:val="20"/>
                <w:szCs w:val="20"/>
                <w:lang w:val="es-CO"/>
              </w:rPr>
              <w:t>SEGUNDA. -  Medidas de satisfacción</w:t>
            </w:r>
          </w:p>
          <w:p w14:paraId="3D4B2C46" w14:textId="77777777" w:rsidR="007A3840" w:rsidRPr="00125F13" w:rsidRDefault="007A3840" w:rsidP="007A3840">
            <w:pPr>
              <w:spacing w:after="0" w:line="240" w:lineRule="auto"/>
              <w:jc w:val="both"/>
              <w:rPr>
                <w:rFonts w:ascii="Cambria" w:eastAsia="Batang" w:hAnsi="Cambria"/>
                <w:color w:val="080808"/>
                <w:sz w:val="20"/>
                <w:szCs w:val="20"/>
                <w:lang w:val="es-CO"/>
              </w:rPr>
            </w:pPr>
            <w:r w:rsidRPr="00125F13">
              <w:rPr>
                <w:rFonts w:ascii="Cambria" w:eastAsia="Batang" w:hAnsi="Cambria"/>
                <w:color w:val="080808"/>
                <w:sz w:val="20"/>
                <w:szCs w:val="20"/>
                <w:lang w:val="es-CO"/>
              </w:rPr>
              <w:t>El Estado de Colombia, se compromete a realizar un acto de reconocimiento de responsabilidad privado, en el cual se hará entrega de una carta de disculpas a la familia de la víctima.</w:t>
            </w:r>
          </w:p>
          <w:p w14:paraId="07EE41AA" w14:textId="77777777" w:rsidR="007A3840" w:rsidRPr="00125F13" w:rsidRDefault="007A3840" w:rsidP="007A3840">
            <w:pPr>
              <w:spacing w:after="0" w:line="240" w:lineRule="auto"/>
              <w:jc w:val="both"/>
              <w:rPr>
                <w:rFonts w:ascii="Cambria" w:eastAsia="Batang" w:hAnsi="Cambria"/>
                <w:color w:val="080808"/>
                <w:sz w:val="20"/>
                <w:szCs w:val="20"/>
                <w:lang w:val="es-CO"/>
              </w:rPr>
            </w:pPr>
          </w:p>
          <w:p w14:paraId="3D81FDF4" w14:textId="5A59CE21" w:rsidR="00897783" w:rsidRPr="00125F13" w:rsidRDefault="007A3840" w:rsidP="007A3840">
            <w:pPr>
              <w:spacing w:after="0" w:line="240" w:lineRule="auto"/>
              <w:jc w:val="both"/>
              <w:rPr>
                <w:rFonts w:ascii="Cambria" w:eastAsia="Times New Roman" w:hAnsi="Cambria"/>
                <w:color w:val="080808"/>
                <w:sz w:val="20"/>
                <w:szCs w:val="20"/>
                <w:lang w:val="es-CO"/>
              </w:rPr>
            </w:pPr>
            <w:r w:rsidRPr="00125F13">
              <w:rPr>
                <w:rFonts w:ascii="Cambria" w:eastAsia="Batang" w:hAnsi="Cambria"/>
                <w:color w:val="080808"/>
                <w:sz w:val="20"/>
                <w:szCs w:val="20"/>
                <w:lang w:val="es-CO"/>
              </w:rPr>
              <w:t>El apoyo logístico y técnico de estas medidas estará a cargo de la Consejería Presidencial para los Derechos Humanos.</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2F7B7A19" w:rsidR="00897783" w:rsidRPr="00125F13" w:rsidRDefault="007A3840" w:rsidP="00897783">
            <w:pPr>
              <w:spacing w:after="0" w:line="240" w:lineRule="auto"/>
              <w:jc w:val="center"/>
              <w:rPr>
                <w:rFonts w:ascii="Cambria" w:eastAsia="Batang" w:hAnsi="Cambria"/>
                <w:b/>
                <w:color w:val="080808"/>
                <w:sz w:val="20"/>
                <w:szCs w:val="20"/>
                <w:lang w:val="es-CO"/>
              </w:rPr>
            </w:pPr>
            <w:r w:rsidRPr="00125F13">
              <w:rPr>
                <w:rFonts w:ascii="Cambria" w:eastAsia="Batang" w:hAnsi="Cambria"/>
                <w:b/>
                <w:color w:val="080808"/>
                <w:sz w:val="20"/>
                <w:szCs w:val="20"/>
                <w:lang w:val="es-CO"/>
              </w:rPr>
              <w:t>Total</w:t>
            </w:r>
            <w:r w:rsidRPr="00125F13">
              <w:rPr>
                <w:rFonts w:ascii="Cambria" w:eastAsia="Batang" w:hAnsi="Cambria"/>
                <w:b/>
                <w:color w:val="080808"/>
                <w:sz w:val="20"/>
                <w:szCs w:val="20"/>
                <w:vertAlign w:val="superscript"/>
                <w:lang w:val="es-CO"/>
              </w:rPr>
              <w:footnoteReference w:id="1"/>
            </w:r>
          </w:p>
        </w:tc>
      </w:tr>
      <w:tr w:rsidR="00897783" w:rsidRPr="002E4AA1"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311EC138" w14:textId="77777777" w:rsidR="007A3840" w:rsidRPr="00125F13" w:rsidRDefault="007A3840" w:rsidP="007A3840">
            <w:pPr>
              <w:spacing w:after="0" w:line="240" w:lineRule="auto"/>
              <w:jc w:val="both"/>
              <w:rPr>
                <w:rFonts w:ascii="Cambria" w:hAnsi="Cambria"/>
                <w:b/>
                <w:bCs/>
                <w:color w:val="080808"/>
                <w:sz w:val="20"/>
                <w:szCs w:val="20"/>
                <w:lang w:val="es-CO"/>
              </w:rPr>
            </w:pPr>
            <w:r w:rsidRPr="00125F13">
              <w:rPr>
                <w:rFonts w:ascii="Cambria" w:hAnsi="Cambria"/>
                <w:b/>
                <w:bCs/>
                <w:color w:val="080808"/>
                <w:sz w:val="20"/>
                <w:szCs w:val="20"/>
                <w:lang w:val="es-CO"/>
              </w:rPr>
              <w:t>TERCERA. - Reparación pecuniaria</w:t>
            </w:r>
          </w:p>
          <w:p w14:paraId="5160AF5D" w14:textId="03E75A36" w:rsidR="00897783" w:rsidRPr="00125F13" w:rsidRDefault="007A3840" w:rsidP="007A3840">
            <w:pPr>
              <w:spacing w:after="0" w:line="240" w:lineRule="auto"/>
              <w:jc w:val="both"/>
              <w:rPr>
                <w:rFonts w:ascii="Cambria" w:hAnsi="Cambria"/>
                <w:color w:val="080808"/>
                <w:sz w:val="20"/>
                <w:szCs w:val="20"/>
                <w:lang w:val="es-CO"/>
              </w:rPr>
            </w:pPr>
            <w:r w:rsidRPr="00125F13">
              <w:rPr>
                <w:rFonts w:ascii="Cambria" w:hAnsi="Cambria"/>
                <w:bCs/>
                <w:color w:val="080808"/>
                <w:sz w:val="20"/>
                <w:szCs w:val="20"/>
                <w:lang w:val="es-CO"/>
              </w:rPr>
              <w:t>El Estado se compromete a dar aplicación a la Ley 288 de 1996 una vez se homologue el presente acuerdo de solución amistosa mediante la expedición del informe de artículo 49 de la CADH, con el propósito de reparar los perjuicios inmateriales que llegaren a probarse a favor de los familiares de la víctima que no han sido indemnizados a través de la Jurisdicción Contencioso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482F93F1" w:rsidR="00897783" w:rsidRPr="00125F13" w:rsidRDefault="00897783" w:rsidP="00897783">
            <w:pPr>
              <w:spacing w:after="0" w:line="240" w:lineRule="auto"/>
              <w:jc w:val="center"/>
              <w:rPr>
                <w:rFonts w:ascii="Cambria" w:eastAsia="Batang" w:hAnsi="Cambria"/>
                <w:b/>
                <w:color w:val="080808"/>
                <w:sz w:val="20"/>
                <w:szCs w:val="20"/>
                <w:lang w:val="es-CO"/>
              </w:rPr>
            </w:pPr>
            <w:r w:rsidRPr="00125F13">
              <w:rPr>
                <w:rFonts w:ascii="Cambria" w:eastAsia="Batang" w:hAnsi="Cambria"/>
                <w:b/>
                <w:bCs/>
                <w:color w:val="000000"/>
                <w:sz w:val="20"/>
                <w:szCs w:val="20"/>
                <w:lang w:val="es-CO" w:eastAsia="es-ES_tradnl"/>
              </w:rPr>
              <w:t>Total</w:t>
            </w:r>
            <w:r w:rsidRPr="00125F13">
              <w:rPr>
                <w:rFonts w:ascii="Cambria" w:eastAsia="Batang" w:hAnsi="Cambria"/>
                <w:b/>
                <w:bCs/>
                <w:color w:val="000000"/>
                <w:sz w:val="20"/>
                <w:szCs w:val="20"/>
                <w:vertAlign w:val="superscript"/>
                <w:lang w:val="es-CO" w:eastAsia="es-ES_tradnl"/>
              </w:rPr>
              <w:footnoteReference w:id="2"/>
            </w:r>
          </w:p>
        </w:tc>
      </w:tr>
    </w:tbl>
    <w:p w14:paraId="4E918129" w14:textId="77777777" w:rsidR="000F6AC8" w:rsidRDefault="000F6AC8" w:rsidP="000F6AC8">
      <w:pPr>
        <w:autoSpaceDE w:val="0"/>
        <w:autoSpaceDN w:val="0"/>
        <w:adjustRightInd w:val="0"/>
        <w:spacing w:after="0" w:line="240" w:lineRule="auto"/>
        <w:ind w:left="720"/>
        <w:jc w:val="both"/>
        <w:rPr>
          <w:rFonts w:ascii="Cambria" w:eastAsia="Batang" w:hAnsi="Cambria" w:cs="Calibri Light"/>
          <w:b/>
          <w:color w:val="080808"/>
          <w:lang w:val="es-CO"/>
        </w:rPr>
      </w:pPr>
    </w:p>
    <w:p w14:paraId="6D9E974D" w14:textId="77777777" w:rsidR="008850B6" w:rsidRDefault="008850B6" w:rsidP="000F6AC8">
      <w:pPr>
        <w:autoSpaceDE w:val="0"/>
        <w:autoSpaceDN w:val="0"/>
        <w:adjustRightInd w:val="0"/>
        <w:spacing w:after="0" w:line="240" w:lineRule="auto"/>
        <w:ind w:left="720"/>
        <w:jc w:val="both"/>
        <w:rPr>
          <w:rFonts w:ascii="Cambria" w:eastAsia="Batang" w:hAnsi="Cambria" w:cs="Calibri Light"/>
          <w:b/>
          <w:color w:val="080808"/>
          <w:lang w:val="es-CO"/>
        </w:rPr>
      </w:pPr>
    </w:p>
    <w:p w14:paraId="0F7D1CEB" w14:textId="6A72BB8A"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0657708E" w14:textId="4AFBFBC7" w:rsidR="003B3362" w:rsidRPr="00125F13" w:rsidRDefault="003B3362" w:rsidP="00125F13">
      <w:pPr>
        <w:pStyle w:val="ListParagraph"/>
        <w:numPr>
          <w:ilvl w:val="0"/>
          <w:numId w:val="44"/>
        </w:numPr>
        <w:spacing w:after="0" w:line="240" w:lineRule="auto"/>
        <w:ind w:left="0" w:firstLine="720"/>
        <w:jc w:val="both"/>
        <w:rPr>
          <w:rFonts w:ascii="Cambria" w:hAnsi="Cambria"/>
          <w:color w:val="080808"/>
          <w:sz w:val="20"/>
          <w:szCs w:val="20"/>
          <w:lang w:val="es-CO"/>
        </w:rPr>
      </w:pPr>
      <w:r w:rsidRPr="00125F13">
        <w:rPr>
          <w:rFonts w:ascii="Cambria" w:hAnsi="Cambria"/>
          <w:color w:val="080808"/>
          <w:sz w:val="20"/>
          <w:szCs w:val="20"/>
          <w:lang w:val="es-CO"/>
        </w:rPr>
        <w:t>La Comisión declaró el cumplimiento total del asunto y el cese del seguimiento del acuerdo de solución amistosa en el Informe Anual de 202</w:t>
      </w:r>
      <w:r w:rsidR="000F6AC8" w:rsidRPr="00125F13">
        <w:rPr>
          <w:rFonts w:ascii="Cambria" w:hAnsi="Cambria"/>
          <w:color w:val="080808"/>
          <w:sz w:val="20"/>
          <w:szCs w:val="20"/>
          <w:lang w:val="es-CO"/>
        </w:rPr>
        <w:t>3</w:t>
      </w:r>
      <w:r w:rsidRPr="00125F13">
        <w:rPr>
          <w:rFonts w:ascii="Cambria" w:hAnsi="Cambria"/>
          <w:color w:val="080808"/>
          <w:sz w:val="20"/>
          <w:szCs w:val="20"/>
          <w:lang w:val="es-CO"/>
        </w:rPr>
        <w:t>.</w:t>
      </w:r>
    </w:p>
    <w:p w14:paraId="6385AFDB" w14:textId="77777777" w:rsidR="003B3362" w:rsidRPr="0009182C" w:rsidRDefault="003B3362" w:rsidP="003B3362">
      <w:pPr>
        <w:spacing w:after="0" w:line="240" w:lineRule="auto"/>
        <w:ind w:firstLine="720"/>
        <w:jc w:val="both"/>
        <w:rPr>
          <w:rFonts w:ascii="Cambria" w:eastAsia="Batang" w:hAnsi="Cambria" w:cs="Calibri Light"/>
          <w:b/>
          <w:color w:val="080808"/>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125F13" w:rsidRDefault="003B3362" w:rsidP="005A1DFD">
      <w:pPr>
        <w:numPr>
          <w:ilvl w:val="1"/>
          <w:numId w:val="37"/>
        </w:numPr>
        <w:spacing w:after="0" w:line="240" w:lineRule="auto"/>
        <w:ind w:left="1560" w:hanging="840"/>
        <w:contextualSpacing/>
        <w:jc w:val="both"/>
        <w:rPr>
          <w:rFonts w:ascii="Cambria" w:eastAsia="Batang" w:hAnsi="Cambria" w:cs="Calibri Light"/>
          <w:b/>
          <w:color w:val="080808"/>
          <w:sz w:val="20"/>
          <w:szCs w:val="20"/>
          <w:lang w:val="es-CO"/>
        </w:rPr>
      </w:pPr>
      <w:r w:rsidRPr="00125F13">
        <w:rPr>
          <w:rFonts w:ascii="Cambria" w:eastAsia="Batang" w:hAnsi="Cambria" w:cs="Calibri Light"/>
          <w:b/>
          <w:color w:val="080808"/>
          <w:sz w:val="20"/>
          <w:szCs w:val="20"/>
          <w:lang w:val="es-CO"/>
        </w:rPr>
        <w:t>Resultados individuales del caso</w:t>
      </w:r>
    </w:p>
    <w:p w14:paraId="3A7E3E60" w14:textId="77777777" w:rsidR="003B3362" w:rsidRPr="008850B6" w:rsidRDefault="003B3362" w:rsidP="005A1DFD">
      <w:pPr>
        <w:spacing w:after="0" w:line="240" w:lineRule="auto"/>
        <w:ind w:left="1560" w:hanging="840"/>
        <w:contextualSpacing/>
        <w:jc w:val="both"/>
        <w:rPr>
          <w:rFonts w:ascii="Cambria" w:eastAsia="Batang" w:hAnsi="Cambria" w:cs="Calibri Light"/>
          <w:b/>
          <w:color w:val="080808"/>
          <w:lang w:val="es-CO"/>
        </w:rPr>
      </w:pPr>
    </w:p>
    <w:p w14:paraId="7900E0C4" w14:textId="77777777" w:rsidR="00C50B37" w:rsidRPr="00125F13" w:rsidRDefault="00C50B37" w:rsidP="00125F13">
      <w:pPr>
        <w:numPr>
          <w:ilvl w:val="0"/>
          <w:numId w:val="16"/>
        </w:numPr>
        <w:tabs>
          <w:tab w:val="left" w:pos="0"/>
        </w:tabs>
        <w:spacing w:after="0" w:line="240" w:lineRule="auto"/>
        <w:ind w:left="1418" w:hanging="698"/>
        <w:contextualSpacing/>
        <w:jc w:val="both"/>
        <w:rPr>
          <w:rFonts w:ascii="Cambria" w:eastAsia="Batang" w:hAnsi="Cambria"/>
          <w:bCs/>
          <w:color w:val="000000"/>
          <w:sz w:val="20"/>
          <w:szCs w:val="20"/>
          <w:lang w:val="es-CO"/>
        </w:rPr>
      </w:pPr>
      <w:r w:rsidRPr="00125F13">
        <w:rPr>
          <w:rFonts w:ascii="Cambria" w:eastAsia="Batang" w:hAnsi="Cambria"/>
          <w:bCs/>
          <w:color w:val="000000"/>
          <w:sz w:val="20"/>
          <w:szCs w:val="20"/>
          <w:lang w:val="es-CO"/>
        </w:rPr>
        <w:t xml:space="preserve">El Estado realizó el acto de reconocimiento de responsabilidad. </w:t>
      </w:r>
    </w:p>
    <w:p w14:paraId="5E2CE4CA" w14:textId="1A64467D" w:rsidR="003B3362" w:rsidRPr="00125F13" w:rsidRDefault="00C50B37" w:rsidP="00125F13">
      <w:pPr>
        <w:numPr>
          <w:ilvl w:val="0"/>
          <w:numId w:val="16"/>
        </w:numPr>
        <w:tabs>
          <w:tab w:val="left" w:pos="0"/>
        </w:tabs>
        <w:spacing w:after="0" w:line="240" w:lineRule="auto"/>
        <w:ind w:left="1440" w:hanging="698"/>
        <w:contextualSpacing/>
        <w:jc w:val="both"/>
        <w:rPr>
          <w:rFonts w:ascii="Cambria" w:eastAsia="Batang" w:hAnsi="Cambria"/>
          <w:bCs/>
          <w:color w:val="000000"/>
          <w:sz w:val="20"/>
          <w:szCs w:val="20"/>
          <w:lang w:val="es-CO"/>
        </w:rPr>
      </w:pPr>
      <w:r w:rsidRPr="00125F13">
        <w:rPr>
          <w:rFonts w:ascii="Cambria" w:eastAsia="Batang" w:hAnsi="Cambria"/>
          <w:bCs/>
          <w:color w:val="000000"/>
          <w:sz w:val="20"/>
          <w:szCs w:val="20"/>
          <w:lang w:val="es-CO"/>
        </w:rPr>
        <w:t>El Estado realizó el pago de una suma total correspondiente a setecientos millones de pesos M/CTE. ($700.000. 000.oo), a favor de cinco beneficiarias.</w:t>
      </w:r>
    </w:p>
    <w:sectPr w:rsidR="003B3362" w:rsidRPr="00125F13" w:rsidSect="00CE6FBA">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237" w14:textId="77777777" w:rsidR="00F5598C" w:rsidRDefault="00F5598C" w:rsidP="00A343FF">
      <w:pPr>
        <w:spacing w:after="0" w:line="240" w:lineRule="auto"/>
      </w:pPr>
      <w:r>
        <w:separator/>
      </w:r>
    </w:p>
  </w:endnote>
  <w:endnote w:type="continuationSeparator" w:id="0">
    <w:p w14:paraId="7F49EA3B" w14:textId="77777777" w:rsidR="00F5598C" w:rsidRDefault="00F5598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9015EE" w:rsidP="0016622B">
    <w:pPr>
      <w:pStyle w:val="Footer"/>
      <w:spacing w:line="360" w:lineRule="auto"/>
      <w:jc w:val="right"/>
    </w:pPr>
    <w:bookmarkStart w:id="52" w:name="_Hlk129090884"/>
    <w:bookmarkStart w:id="53" w:name="_Hlk129090885"/>
    <w:bookmarkStart w:id="54" w:name="_Hlk129091044"/>
    <w:bookmarkStart w:id="55" w:name="_Hlk129091045"/>
    <w:bookmarkStart w:id="56" w:name="_Hlk129091049"/>
    <w:bookmarkStart w:id="57" w:name="_Hlk129091050"/>
    <w:bookmarkStart w:id="58" w:name="_Hlk129091188"/>
    <w:bookmarkStart w:id="59" w:name="_Hlk129091189"/>
    <w:bookmarkStart w:id="60" w:name="_Hlk129091982"/>
    <w:bookmarkStart w:id="61" w:name="_Hlk129091983"/>
    <w:bookmarkStart w:id="62" w:name="_Hlk129092109"/>
    <w:bookmarkStart w:id="63" w:name="_Hlk129092110"/>
    <w:bookmarkStart w:id="64" w:name="_Hlk129092206"/>
    <w:bookmarkStart w:id="65" w:name="_Hlk129092207"/>
    <w:bookmarkStart w:id="66" w:name="_Hlk129092304"/>
    <w:bookmarkStart w:id="67" w:name="_Hlk129092305"/>
    <w:bookmarkStart w:id="68" w:name="_Hlk129092365"/>
    <w:bookmarkStart w:id="69" w:name="_Hlk129092366"/>
    <w:bookmarkStart w:id="70" w:name="_Hlk129092414"/>
    <w:bookmarkStart w:id="71" w:name="_Hlk129092415"/>
    <w:bookmarkStart w:id="72" w:name="_Hlk129092467"/>
    <w:bookmarkStart w:id="73" w:name="_Hlk129092468"/>
    <w:r>
      <w:rPr>
        <w:noProof/>
      </w:rPr>
      <w:pict w14:anchorId="760A5482">
        <v:rect id="_x0000_i1027" alt="" style="width:441.9pt;height:.05pt;mso-width-percent:0;mso-height-percent:0;mso-width-percent:0;mso-height-percent:0"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1451304620"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C728E51" w14:textId="77777777" w:rsidR="00986996" w:rsidRDefault="0098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90DD" w14:textId="77777777" w:rsidR="00F5598C" w:rsidRDefault="00F5598C" w:rsidP="00A343FF">
      <w:pPr>
        <w:spacing w:after="0" w:line="240" w:lineRule="auto"/>
      </w:pPr>
      <w:r>
        <w:separator/>
      </w:r>
    </w:p>
  </w:footnote>
  <w:footnote w:type="continuationSeparator" w:id="0">
    <w:p w14:paraId="6D156E1B" w14:textId="77777777" w:rsidR="00F5598C" w:rsidRDefault="00F5598C" w:rsidP="00A343FF">
      <w:pPr>
        <w:spacing w:after="0" w:line="240" w:lineRule="auto"/>
      </w:pPr>
      <w:r>
        <w:continuationSeparator/>
      </w:r>
    </w:p>
  </w:footnote>
  <w:footnote w:id="1">
    <w:p w14:paraId="2F07E0BB" w14:textId="77777777" w:rsidR="007A3840" w:rsidRPr="008850B6" w:rsidRDefault="007A3840" w:rsidP="00C50B37">
      <w:pPr>
        <w:spacing w:after="0" w:line="240" w:lineRule="auto"/>
        <w:ind w:firstLine="720"/>
        <w:jc w:val="both"/>
        <w:rPr>
          <w:rFonts w:ascii="Cambria" w:hAnsi="Cambria"/>
          <w:sz w:val="16"/>
          <w:szCs w:val="16"/>
          <w:lang w:val="es-ES"/>
        </w:rPr>
      </w:pPr>
      <w:r w:rsidRPr="00125F13">
        <w:rPr>
          <w:rStyle w:val="FootnoteReference"/>
          <w:rFonts w:ascii="Cambria" w:hAnsi="Cambria"/>
          <w:sz w:val="16"/>
          <w:szCs w:val="16"/>
        </w:rPr>
        <w:footnoteRef/>
      </w:r>
      <w:r w:rsidRPr="00125F13">
        <w:rPr>
          <w:rFonts w:ascii="Cambria" w:hAnsi="Cambria"/>
          <w:sz w:val="16"/>
          <w:szCs w:val="16"/>
          <w:lang w:val="es-AR"/>
        </w:rPr>
        <w:t xml:space="preserve"> </w:t>
      </w:r>
      <w:r w:rsidRPr="00125F13">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125F13">
        <w:rPr>
          <w:rFonts w:ascii="Cambria" w:hAnsi="Cambria"/>
          <w:color w:val="000000"/>
          <w:sz w:val="16"/>
          <w:szCs w:val="16"/>
          <w:lang w:val="es-CO"/>
        </w:rPr>
        <w:t xml:space="preserve">Disponible en: </w:t>
      </w:r>
      <w:hyperlink r:id="rId1" w:history="1">
        <w:r w:rsidRPr="00125F13">
          <w:rPr>
            <w:rStyle w:val="Hyperlink"/>
            <w:rFonts w:ascii="Cambria" w:hAnsi="Cambria"/>
            <w:sz w:val="16"/>
            <w:szCs w:val="16"/>
            <w:lang w:val="es-ES"/>
          </w:rPr>
          <w:t>http://www.oas.org/es/cidh/docs/anual/2018/docs/IA2018cap.2-es.pdf</w:t>
        </w:r>
      </w:hyperlink>
    </w:p>
  </w:footnote>
  <w:footnote w:id="2">
    <w:p w14:paraId="644B58EB" w14:textId="1332FF93" w:rsidR="00897783" w:rsidRPr="00125F13" w:rsidRDefault="00897783" w:rsidP="00C50B37">
      <w:pPr>
        <w:pStyle w:val="FootnoteText"/>
        <w:spacing w:after="0" w:line="240" w:lineRule="auto"/>
        <w:ind w:firstLine="709"/>
        <w:jc w:val="both"/>
        <w:rPr>
          <w:color w:val="000000"/>
          <w:szCs w:val="16"/>
          <w:lang w:val="es-VE"/>
        </w:rPr>
      </w:pPr>
      <w:r w:rsidRPr="00125F13">
        <w:rPr>
          <w:rStyle w:val="FootnoteReference"/>
          <w:rFonts w:ascii="Cambria" w:hAnsi="Cambria"/>
          <w:color w:val="000000"/>
          <w:sz w:val="16"/>
          <w:szCs w:val="16"/>
        </w:rPr>
        <w:footnoteRef/>
      </w:r>
      <w:r w:rsidRPr="00125F13">
        <w:rPr>
          <w:rFonts w:ascii="Cambria" w:hAnsi="Cambria"/>
          <w:color w:val="000000"/>
          <w:sz w:val="16"/>
          <w:szCs w:val="16"/>
          <w:lang w:val="es-VE"/>
        </w:rPr>
        <w:t xml:space="preserve"> </w:t>
      </w:r>
      <w:r w:rsidR="007A3840" w:rsidRPr="00125F13">
        <w:rPr>
          <w:rFonts w:ascii="Cambria" w:hAnsi="Cambria"/>
          <w:sz w:val="16"/>
          <w:szCs w:val="16"/>
          <w:lang w:val="es-ES"/>
        </w:rPr>
        <w:t xml:space="preserve">Ver CIDH, Informe Anual 2023, Capítulo II, Sección X. Avances y retrocesos en materia de negociación e implementación de acuerdos de solución amistosa. </w:t>
      </w:r>
      <w:r w:rsidR="007A3840" w:rsidRPr="00125F13">
        <w:rPr>
          <w:rFonts w:ascii="Cambria" w:hAnsi="Cambria"/>
          <w:sz w:val="16"/>
          <w:szCs w:val="16"/>
          <w:lang w:val="es-CO"/>
        </w:rPr>
        <w:t xml:space="preserve">Disponible en: </w:t>
      </w:r>
      <w:hyperlink r:id="rId2" w:history="1">
        <w:r w:rsidR="008850B6" w:rsidRPr="008850B6">
          <w:rPr>
            <w:rStyle w:val="Hyperlink"/>
            <w:rFonts w:ascii="Cambria" w:hAnsi="Cambria"/>
            <w:sz w:val="16"/>
            <w:szCs w:val="16"/>
            <w:lang w:val="es-ES"/>
          </w:rPr>
          <w:t>https://www.oas.org/es/cidh/docs/anual/2023/capitulos/IA2023_Cap_2_SPA.PDF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2DE3BD4C" wp14:editId="34D3560F">
          <wp:extent cx="2286000" cy="118110"/>
          <wp:effectExtent l="0" t="0" r="0" b="0"/>
          <wp:docPr id="4603050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9015EE" w:rsidP="00786A91">
    <w:pPr>
      <w:pStyle w:val="Header"/>
    </w:pPr>
    <w:r>
      <w:rPr>
        <w:noProof/>
      </w:rPr>
      <w:pict w14:anchorId="14E1C735">
        <v:rect id="_x0000_i1025" alt="" style="width:441.9pt;height:.05pt;mso-width-percent:0;mso-height-percent:0;mso-width-percent:0;mso-height-percent:0"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56BF2400" wp14:editId="6FF8564F">
          <wp:extent cx="2345055" cy="457200"/>
          <wp:effectExtent l="0" t="0" r="0" b="0"/>
          <wp:docPr id="951335612"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21414959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9015EE" w:rsidP="00986996">
    <w:pPr>
      <w:pStyle w:val="Header"/>
    </w:pPr>
    <w:r>
      <w:rPr>
        <w:noProof/>
      </w:rPr>
      <w:pict w14:anchorId="6C61DD87">
        <v:rect id="_x0000_i1026" alt="" style="width:441.9pt;height:.05pt;mso-width-percent:0;mso-height-percent:0;mso-width-percent:0;mso-height-percent:0"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6898"/>
    <w:multiLevelType w:val="hybridMultilevel"/>
    <w:tmpl w:val="1736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3F0B"/>
    <w:multiLevelType w:val="hybridMultilevel"/>
    <w:tmpl w:val="38DE0034"/>
    <w:lvl w:ilvl="0" w:tplc="0EEE235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5"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6"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0"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7" w15:restartNumberingAfterBreak="0">
    <w:nsid w:val="3CDF7F5E"/>
    <w:multiLevelType w:val="hybridMultilevel"/>
    <w:tmpl w:val="E21CF30C"/>
    <w:lvl w:ilvl="0" w:tplc="C80E52C4">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7B62DF"/>
    <w:multiLevelType w:val="hybridMultilevel"/>
    <w:tmpl w:val="95C050FE"/>
    <w:lvl w:ilvl="0" w:tplc="AE5A3C7E">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903577"/>
    <w:multiLevelType w:val="hybridMultilevel"/>
    <w:tmpl w:val="95EE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3"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50951C10"/>
    <w:multiLevelType w:val="hybridMultilevel"/>
    <w:tmpl w:val="D096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1"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7"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482AD5"/>
    <w:multiLevelType w:val="hybridMultilevel"/>
    <w:tmpl w:val="BB624E42"/>
    <w:lvl w:ilvl="0" w:tplc="04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43"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42"/>
  </w:num>
  <w:num w:numId="2" w16cid:durableId="1198784672">
    <w:abstractNumId w:val="5"/>
  </w:num>
  <w:num w:numId="3" w16cid:durableId="946815819">
    <w:abstractNumId w:val="41"/>
  </w:num>
  <w:num w:numId="4" w16cid:durableId="1735083488">
    <w:abstractNumId w:val="24"/>
  </w:num>
  <w:num w:numId="5" w16cid:durableId="1809080309">
    <w:abstractNumId w:val="21"/>
  </w:num>
  <w:num w:numId="6" w16cid:durableId="2000111282">
    <w:abstractNumId w:val="44"/>
  </w:num>
  <w:num w:numId="7" w16cid:durableId="1182233948">
    <w:abstractNumId w:val="10"/>
  </w:num>
  <w:num w:numId="8" w16cid:durableId="653609088">
    <w:abstractNumId w:val="36"/>
  </w:num>
  <w:num w:numId="9" w16cid:durableId="263657786">
    <w:abstractNumId w:val="12"/>
  </w:num>
  <w:num w:numId="10" w16cid:durableId="1629429028">
    <w:abstractNumId w:val="4"/>
  </w:num>
  <w:num w:numId="11" w16cid:durableId="1415277257">
    <w:abstractNumId w:val="9"/>
  </w:num>
  <w:num w:numId="12" w16cid:durableId="98719486">
    <w:abstractNumId w:val="11"/>
  </w:num>
  <w:num w:numId="13" w16cid:durableId="643854056">
    <w:abstractNumId w:val="34"/>
  </w:num>
  <w:num w:numId="14" w16cid:durableId="1517694182">
    <w:abstractNumId w:val="14"/>
  </w:num>
  <w:num w:numId="15" w16cid:durableId="815797891">
    <w:abstractNumId w:val="40"/>
  </w:num>
  <w:num w:numId="16" w16cid:durableId="251282083">
    <w:abstractNumId w:val="8"/>
  </w:num>
  <w:num w:numId="17" w16cid:durableId="1185630687">
    <w:abstractNumId w:val="25"/>
  </w:num>
  <w:num w:numId="18" w16cid:durableId="938754063">
    <w:abstractNumId w:val="32"/>
  </w:num>
  <w:num w:numId="19" w16cid:durableId="287009962">
    <w:abstractNumId w:val="28"/>
  </w:num>
  <w:num w:numId="20" w16cid:durableId="1427114931">
    <w:abstractNumId w:val="0"/>
  </w:num>
  <w:num w:numId="21" w16cid:durableId="1996837994">
    <w:abstractNumId w:val="19"/>
  </w:num>
  <w:num w:numId="22" w16cid:durableId="1249198344">
    <w:abstractNumId w:val="1"/>
  </w:num>
  <w:num w:numId="23" w16cid:durableId="1945647392">
    <w:abstractNumId w:val="30"/>
  </w:num>
  <w:num w:numId="24" w16cid:durableId="537162661">
    <w:abstractNumId w:val="33"/>
  </w:num>
  <w:num w:numId="25" w16cid:durableId="1989938239">
    <w:abstractNumId w:val="22"/>
  </w:num>
  <w:num w:numId="26" w16cid:durableId="1967273059">
    <w:abstractNumId w:val="37"/>
  </w:num>
  <w:num w:numId="27" w16cid:durableId="1065761970">
    <w:abstractNumId w:val="15"/>
  </w:num>
  <w:num w:numId="28" w16cid:durableId="45295993">
    <w:abstractNumId w:val="6"/>
  </w:num>
  <w:num w:numId="29" w16cid:durableId="698167985">
    <w:abstractNumId w:val="26"/>
  </w:num>
  <w:num w:numId="30" w16cid:durableId="1709643113">
    <w:abstractNumId w:val="38"/>
  </w:num>
  <w:num w:numId="31" w16cid:durableId="934480746">
    <w:abstractNumId w:val="35"/>
  </w:num>
  <w:num w:numId="32" w16cid:durableId="541211672">
    <w:abstractNumId w:val="13"/>
  </w:num>
  <w:num w:numId="33" w16cid:durableId="1345130465">
    <w:abstractNumId w:val="31"/>
  </w:num>
  <w:num w:numId="34" w16cid:durableId="1757743752">
    <w:abstractNumId w:val="29"/>
  </w:num>
  <w:num w:numId="35" w16cid:durableId="83184206">
    <w:abstractNumId w:val="7"/>
  </w:num>
  <w:num w:numId="36" w16cid:durableId="1037505896">
    <w:abstractNumId w:val="43"/>
  </w:num>
  <w:num w:numId="37" w16cid:durableId="1162084678">
    <w:abstractNumId w:val="16"/>
  </w:num>
  <w:num w:numId="38" w16cid:durableId="247926190">
    <w:abstractNumId w:val="23"/>
  </w:num>
  <w:num w:numId="39" w16cid:durableId="445580875">
    <w:abstractNumId w:val="3"/>
  </w:num>
  <w:num w:numId="40" w16cid:durableId="141699055">
    <w:abstractNumId w:val="20"/>
  </w:num>
  <w:num w:numId="41" w16cid:durableId="520552984">
    <w:abstractNumId w:val="2"/>
  </w:num>
  <w:num w:numId="42" w16cid:durableId="751006063">
    <w:abstractNumId w:val="17"/>
  </w:num>
  <w:num w:numId="43" w16cid:durableId="1115254528">
    <w:abstractNumId w:val="27"/>
  </w:num>
  <w:num w:numId="44" w16cid:durableId="1955942463">
    <w:abstractNumId w:val="18"/>
  </w:num>
  <w:num w:numId="45" w16cid:durableId="19274935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741"/>
    <w:rsid w:val="000840A1"/>
    <w:rsid w:val="0009182C"/>
    <w:rsid w:val="000974AD"/>
    <w:rsid w:val="000A0354"/>
    <w:rsid w:val="000A1EFD"/>
    <w:rsid w:val="000E0945"/>
    <w:rsid w:val="000F4520"/>
    <w:rsid w:val="000F6AC8"/>
    <w:rsid w:val="00106C59"/>
    <w:rsid w:val="00121A07"/>
    <w:rsid w:val="00125F13"/>
    <w:rsid w:val="00132D55"/>
    <w:rsid w:val="00134455"/>
    <w:rsid w:val="00162E82"/>
    <w:rsid w:val="00163E52"/>
    <w:rsid w:val="00165C18"/>
    <w:rsid w:val="0016622B"/>
    <w:rsid w:val="00183508"/>
    <w:rsid w:val="001873B5"/>
    <w:rsid w:val="001B1DFD"/>
    <w:rsid w:val="001C0A6D"/>
    <w:rsid w:val="001C230A"/>
    <w:rsid w:val="001C3868"/>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92591"/>
    <w:rsid w:val="002A1ED6"/>
    <w:rsid w:val="002A39B2"/>
    <w:rsid w:val="002B0B2A"/>
    <w:rsid w:val="002B46E1"/>
    <w:rsid w:val="002C446E"/>
    <w:rsid w:val="002D3FBD"/>
    <w:rsid w:val="002E03E0"/>
    <w:rsid w:val="002E4AA1"/>
    <w:rsid w:val="00301A2A"/>
    <w:rsid w:val="00324282"/>
    <w:rsid w:val="00360412"/>
    <w:rsid w:val="00370712"/>
    <w:rsid w:val="00376A6A"/>
    <w:rsid w:val="00393310"/>
    <w:rsid w:val="003A30C8"/>
    <w:rsid w:val="003B3362"/>
    <w:rsid w:val="003B479F"/>
    <w:rsid w:val="003D4630"/>
    <w:rsid w:val="003E3690"/>
    <w:rsid w:val="003F2850"/>
    <w:rsid w:val="00412204"/>
    <w:rsid w:val="0041423F"/>
    <w:rsid w:val="00425C1D"/>
    <w:rsid w:val="00433F54"/>
    <w:rsid w:val="004506DA"/>
    <w:rsid w:val="0047175E"/>
    <w:rsid w:val="00477809"/>
    <w:rsid w:val="00483B3C"/>
    <w:rsid w:val="00483CF7"/>
    <w:rsid w:val="00497B73"/>
    <w:rsid w:val="004A15BA"/>
    <w:rsid w:val="004A2550"/>
    <w:rsid w:val="004B6622"/>
    <w:rsid w:val="004C0674"/>
    <w:rsid w:val="004C4D9C"/>
    <w:rsid w:val="004D7999"/>
    <w:rsid w:val="004F3537"/>
    <w:rsid w:val="004F3B49"/>
    <w:rsid w:val="00515370"/>
    <w:rsid w:val="00525898"/>
    <w:rsid w:val="00545027"/>
    <w:rsid w:val="0055600F"/>
    <w:rsid w:val="00565615"/>
    <w:rsid w:val="005664CA"/>
    <w:rsid w:val="0058266E"/>
    <w:rsid w:val="0058688A"/>
    <w:rsid w:val="00590BCD"/>
    <w:rsid w:val="00593BAE"/>
    <w:rsid w:val="005A1DFD"/>
    <w:rsid w:val="005A32E4"/>
    <w:rsid w:val="005A5292"/>
    <w:rsid w:val="005A732D"/>
    <w:rsid w:val="005B23B6"/>
    <w:rsid w:val="005C5563"/>
    <w:rsid w:val="005E11CE"/>
    <w:rsid w:val="005E7B15"/>
    <w:rsid w:val="005E7D95"/>
    <w:rsid w:val="005F4AAA"/>
    <w:rsid w:val="00604132"/>
    <w:rsid w:val="00604F1C"/>
    <w:rsid w:val="00617ED5"/>
    <w:rsid w:val="00622A27"/>
    <w:rsid w:val="006409F9"/>
    <w:rsid w:val="0064287C"/>
    <w:rsid w:val="006440B6"/>
    <w:rsid w:val="00650F99"/>
    <w:rsid w:val="0066572E"/>
    <w:rsid w:val="006753A9"/>
    <w:rsid w:val="00683740"/>
    <w:rsid w:val="006964C0"/>
    <w:rsid w:val="006A40D0"/>
    <w:rsid w:val="006A592E"/>
    <w:rsid w:val="006A6CAF"/>
    <w:rsid w:val="006A6F49"/>
    <w:rsid w:val="006A7144"/>
    <w:rsid w:val="006B4CEC"/>
    <w:rsid w:val="006C60F3"/>
    <w:rsid w:val="006F0429"/>
    <w:rsid w:val="006F4B6C"/>
    <w:rsid w:val="006F6BBC"/>
    <w:rsid w:val="0070714C"/>
    <w:rsid w:val="00745807"/>
    <w:rsid w:val="00747464"/>
    <w:rsid w:val="00754FFE"/>
    <w:rsid w:val="007779B2"/>
    <w:rsid w:val="0078116D"/>
    <w:rsid w:val="00786A91"/>
    <w:rsid w:val="007A3840"/>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17A6"/>
    <w:rsid w:val="00863A25"/>
    <w:rsid w:val="008641C8"/>
    <w:rsid w:val="0087369A"/>
    <w:rsid w:val="008776EB"/>
    <w:rsid w:val="008850B6"/>
    <w:rsid w:val="0089637D"/>
    <w:rsid w:val="00897783"/>
    <w:rsid w:val="008B0045"/>
    <w:rsid w:val="008B0889"/>
    <w:rsid w:val="008B67EB"/>
    <w:rsid w:val="008E0DEF"/>
    <w:rsid w:val="008E3636"/>
    <w:rsid w:val="009015EE"/>
    <w:rsid w:val="00913BF3"/>
    <w:rsid w:val="00917950"/>
    <w:rsid w:val="00921645"/>
    <w:rsid w:val="00931D14"/>
    <w:rsid w:val="009331A5"/>
    <w:rsid w:val="00933A89"/>
    <w:rsid w:val="00937DFD"/>
    <w:rsid w:val="00944F57"/>
    <w:rsid w:val="009477D5"/>
    <w:rsid w:val="00977EF7"/>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3232A"/>
    <w:rsid w:val="00A343FF"/>
    <w:rsid w:val="00A366BE"/>
    <w:rsid w:val="00A466C8"/>
    <w:rsid w:val="00A47FF7"/>
    <w:rsid w:val="00A56234"/>
    <w:rsid w:val="00A72869"/>
    <w:rsid w:val="00A74A1D"/>
    <w:rsid w:val="00A76D93"/>
    <w:rsid w:val="00A942E0"/>
    <w:rsid w:val="00AA0407"/>
    <w:rsid w:val="00AA4E4E"/>
    <w:rsid w:val="00AC2BAD"/>
    <w:rsid w:val="00AE1768"/>
    <w:rsid w:val="00AE1B0F"/>
    <w:rsid w:val="00AE2597"/>
    <w:rsid w:val="00AF0CEC"/>
    <w:rsid w:val="00AF37E4"/>
    <w:rsid w:val="00B02BDD"/>
    <w:rsid w:val="00B033A1"/>
    <w:rsid w:val="00B056D9"/>
    <w:rsid w:val="00B17D1F"/>
    <w:rsid w:val="00B2161A"/>
    <w:rsid w:val="00B247FB"/>
    <w:rsid w:val="00B6696C"/>
    <w:rsid w:val="00B75824"/>
    <w:rsid w:val="00B806AC"/>
    <w:rsid w:val="00B90B9D"/>
    <w:rsid w:val="00B91191"/>
    <w:rsid w:val="00B91D8E"/>
    <w:rsid w:val="00B93993"/>
    <w:rsid w:val="00BA675E"/>
    <w:rsid w:val="00BB5902"/>
    <w:rsid w:val="00BC19D9"/>
    <w:rsid w:val="00BD37BE"/>
    <w:rsid w:val="00BD6A10"/>
    <w:rsid w:val="00BF33B2"/>
    <w:rsid w:val="00BF7310"/>
    <w:rsid w:val="00C04C07"/>
    <w:rsid w:val="00C1382E"/>
    <w:rsid w:val="00C40F2C"/>
    <w:rsid w:val="00C50B37"/>
    <w:rsid w:val="00C6690B"/>
    <w:rsid w:val="00CA2777"/>
    <w:rsid w:val="00CA3AA8"/>
    <w:rsid w:val="00CB0CA0"/>
    <w:rsid w:val="00CC4274"/>
    <w:rsid w:val="00CC5359"/>
    <w:rsid w:val="00CD3889"/>
    <w:rsid w:val="00CD42BE"/>
    <w:rsid w:val="00CE3A3F"/>
    <w:rsid w:val="00CE6FBA"/>
    <w:rsid w:val="00CF64FA"/>
    <w:rsid w:val="00D05BCC"/>
    <w:rsid w:val="00D13990"/>
    <w:rsid w:val="00D222B7"/>
    <w:rsid w:val="00D5166A"/>
    <w:rsid w:val="00D56F83"/>
    <w:rsid w:val="00D60299"/>
    <w:rsid w:val="00D809FF"/>
    <w:rsid w:val="00D82E91"/>
    <w:rsid w:val="00D9132A"/>
    <w:rsid w:val="00DB1E4A"/>
    <w:rsid w:val="00DB2CDF"/>
    <w:rsid w:val="00DB36E1"/>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66C1B"/>
    <w:rsid w:val="00E72BD0"/>
    <w:rsid w:val="00E77756"/>
    <w:rsid w:val="00E82BFD"/>
    <w:rsid w:val="00EB1162"/>
    <w:rsid w:val="00EB3ACF"/>
    <w:rsid w:val="00EC03C5"/>
    <w:rsid w:val="00EC64BF"/>
    <w:rsid w:val="00ED4C58"/>
    <w:rsid w:val="00ED518E"/>
    <w:rsid w:val="00EF1B6E"/>
    <w:rsid w:val="00EF1BD7"/>
    <w:rsid w:val="00F0294F"/>
    <w:rsid w:val="00F06E69"/>
    <w:rsid w:val="00F07B09"/>
    <w:rsid w:val="00F52F31"/>
    <w:rsid w:val="00F54F60"/>
    <w:rsid w:val="00F5598C"/>
    <w:rsid w:val="00F62F2B"/>
    <w:rsid w:val="00F659FE"/>
    <w:rsid w:val="00F66FEE"/>
    <w:rsid w:val="00F72E41"/>
    <w:rsid w:val="00F8544E"/>
    <w:rsid w:val="00FA0536"/>
    <w:rsid w:val="00FC0266"/>
    <w:rsid w:val="00FC66C2"/>
    <w:rsid w:val="00FD09E6"/>
    <w:rsid w:val="00FD7ED8"/>
    <w:rsid w:val="00FE071C"/>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styleId="CommentReference">
    <w:name w:val="annotation reference"/>
    <w:basedOn w:val="DefaultParagraphFont"/>
    <w:uiPriority w:val="99"/>
    <w:semiHidden/>
    <w:unhideWhenUsed/>
    <w:rsid w:val="00BD6A10"/>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dh.oas.org/annualrep/2009sp/Colombia1385-06.sp.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s/cidh/decisiones/2017/COSA12712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s.org/es/cidh/decisiones/2017/COSA12712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ocs/anual/2023/capitulos/IA2023_Cap_2_SPA.PDF" TargetMode="External"/><Relationship Id="rId1"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2.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4.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06327217-8C71-4183-9EC3-C2AEAA6FAE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